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874425">
      <w:pPr>
        <w:spacing w:beforeLines="0" w:afterLines="0" w:line="600" w:lineRule="exact"/>
        <w:ind w:firstLine="0" w:firstLineChars="0"/>
        <w:outlineLvl w:val="0"/>
        <w:rPr>
          <w:rFonts w:hint="eastAsia" w:ascii="黑体" w:hAnsi="黑体" w:eastAsia="黑体" w:cs="黑体"/>
          <w:bCs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color w:val="000000"/>
          <w:sz w:val="32"/>
          <w:szCs w:val="32"/>
          <w:lang w:val="en-US" w:eastAsia="zh-CN"/>
        </w:rPr>
        <w:t>1</w:t>
      </w:r>
    </w:p>
    <w:p w14:paraId="5F8091BD">
      <w:pPr>
        <w:spacing w:beforeLines="0" w:afterLines="0" w:line="600" w:lineRule="exact"/>
        <w:ind w:firstLine="0" w:firstLineChars="0"/>
        <w:outlineLvl w:val="0"/>
        <w:rPr>
          <w:rFonts w:hint="eastAsia" w:ascii="黑体" w:hAnsi="黑体" w:eastAsia="黑体" w:cs="黑体"/>
          <w:bCs/>
          <w:color w:val="000000"/>
          <w:sz w:val="32"/>
          <w:szCs w:val="32"/>
          <w:lang w:val="en-US" w:eastAsia="zh-CN"/>
        </w:rPr>
      </w:pPr>
    </w:p>
    <w:p w14:paraId="4D9A6C49">
      <w:pPr>
        <w:spacing w:before="0" w:beforeLines="0" w:after="0" w:afterLines="0" w:line="600" w:lineRule="exact"/>
        <w:ind w:firstLine="0" w:firstLineChars="0"/>
        <w:jc w:val="center"/>
        <w:rPr>
          <w:rFonts w:hint="default" w:ascii="Times New Roman" w:hAnsi="Times New Roman" w:eastAsia="方正小标宋简体" w:cs="Times New Roman"/>
          <w:bCs/>
          <w:color w:val="000000"/>
          <w:sz w:val="44"/>
          <w:szCs w:val="44"/>
          <w:lang w:eastAsia="zh-CN"/>
        </w:rPr>
      </w:pPr>
      <w:r>
        <w:rPr>
          <w:rFonts w:ascii="Times New Roman" w:hAnsi="Times New Roman" w:eastAsia="方正小标宋简体" w:cs="Times New Roman"/>
          <w:bCs/>
          <w:color w:val="000000"/>
          <w:sz w:val="44"/>
          <w:szCs w:val="44"/>
        </w:rPr>
        <w:t>降脂灵制剂说明书修订</w:t>
      </w:r>
      <w:r>
        <w:rPr>
          <w:rFonts w:hint="default" w:ascii="Times New Roman" w:hAnsi="Times New Roman" w:eastAsia="方正小标宋简体" w:cs="Times New Roman"/>
          <w:bCs/>
          <w:color w:val="000000"/>
          <w:sz w:val="44"/>
          <w:szCs w:val="44"/>
          <w:lang w:eastAsia="zh-CN"/>
        </w:rPr>
        <w:t>要求</w:t>
      </w:r>
    </w:p>
    <w:p w14:paraId="524BAA55">
      <w:pPr>
        <w:spacing w:before="0" w:beforeLines="0" w:after="0" w:afterLines="0" w:line="600" w:lineRule="exact"/>
        <w:ind w:firstLine="0" w:firstLineChars="0"/>
        <w:jc w:val="center"/>
        <w:rPr>
          <w:rFonts w:hint="default" w:ascii="Times New Roman" w:hAnsi="Times New Roman" w:eastAsia="方正小标宋简体" w:cs="Times New Roman"/>
          <w:bCs/>
          <w:color w:val="000000"/>
          <w:sz w:val="44"/>
          <w:szCs w:val="44"/>
          <w:lang w:eastAsia="zh-CN"/>
        </w:rPr>
      </w:pPr>
    </w:p>
    <w:p w14:paraId="14591A8F">
      <w:pPr>
        <w:spacing w:beforeLines="0" w:afterLines="0" w:line="600" w:lineRule="exact"/>
        <w:ind w:firstLine="640"/>
        <w:jc w:val="left"/>
        <w:rPr>
          <w:rFonts w:ascii="Times New Roman" w:hAnsi="Times New Roman" w:eastAsia="黑体" w:cs="Times New Roman"/>
          <w:bCs/>
          <w:sz w:val="32"/>
          <w:szCs w:val="32"/>
        </w:rPr>
      </w:pPr>
      <w:r>
        <w:rPr>
          <w:rFonts w:ascii="Times New Roman" w:hAnsi="Times New Roman" w:eastAsia="黑体" w:cs="Times New Roman"/>
          <w:bCs/>
          <w:sz w:val="32"/>
          <w:szCs w:val="32"/>
        </w:rPr>
        <w:t>一、【不良反应】项应当包括</w:t>
      </w:r>
    </w:p>
    <w:p w14:paraId="0BC322ED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 w:val="0"/>
        <w:spacing w:beforeLines="0" w:afterLines="0"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上市后监测数据显示，降脂灵制剂可见以下不良反应报告：</w:t>
      </w:r>
    </w:p>
    <w:p w14:paraId="7760C988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 w:val="0"/>
        <w:spacing w:beforeLines="0" w:afterLines="0"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bookmarkStart w:id="0" w:name="OLE_LINK118"/>
      <w:bookmarkStart w:id="1" w:name="OLE_LINK119"/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>1.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胃肠系统疾病：腹泻、恶心、腹痛、呕吐、腹胀、胃肠胀气、胃不适、口干等。</w:t>
      </w:r>
    </w:p>
    <w:p w14:paraId="3DB6009C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 w:val="0"/>
        <w:spacing w:beforeLines="0" w:afterLines="0"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>2.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各类神经系统疾病：头晕、头痛等。</w:t>
      </w:r>
    </w:p>
    <w:p w14:paraId="284F7E23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 w:val="0"/>
        <w:spacing w:beforeLines="0" w:afterLines="0"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>3.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皮肤及皮下组织类疾病：皮疹、瘙痒等。</w:t>
      </w:r>
    </w:p>
    <w:p w14:paraId="09168F11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 w:val="0"/>
        <w:spacing w:beforeLines="0" w:afterLines="0"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>4.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肝胆系统损害：肝功能异常等。</w:t>
      </w:r>
    </w:p>
    <w:p w14:paraId="5D624DA8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 w:val="0"/>
        <w:spacing w:beforeLines="0" w:afterLines="0"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>5.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其他：乏力、胸闷等。降脂灵制剂有发生过敏性休克的个例报告。</w:t>
      </w:r>
    </w:p>
    <w:bookmarkEnd w:id="0"/>
    <w:bookmarkEnd w:id="1"/>
    <w:p w14:paraId="749923DB">
      <w:pPr>
        <w:spacing w:beforeLines="0" w:afterLines="0" w:line="600" w:lineRule="exact"/>
        <w:ind w:firstLine="640"/>
        <w:jc w:val="left"/>
        <w:rPr>
          <w:rFonts w:ascii="Times New Roman" w:hAnsi="Times New Roman" w:eastAsia="黑体" w:cs="Times New Roman"/>
          <w:bCs/>
          <w:sz w:val="32"/>
          <w:szCs w:val="32"/>
        </w:rPr>
      </w:pPr>
      <w:r>
        <w:rPr>
          <w:rFonts w:ascii="Times New Roman" w:hAnsi="Times New Roman" w:eastAsia="黑体" w:cs="Times New Roman"/>
          <w:bCs/>
          <w:sz w:val="32"/>
          <w:szCs w:val="32"/>
        </w:rPr>
        <w:t>二、【禁忌】项应当包括</w:t>
      </w:r>
    </w:p>
    <w:p w14:paraId="62DAF4B4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 w:val="0"/>
        <w:spacing w:beforeLines="0" w:afterLines="0"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bookmarkStart w:id="2" w:name="OLE_LINK45"/>
      <w:bookmarkStart w:id="3" w:name="OLE_LINK44"/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1.肝功能不全者禁用。</w:t>
      </w:r>
    </w:p>
    <w:p w14:paraId="0F8D503B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 w:val="0"/>
        <w:spacing w:beforeLines="0" w:afterLines="0"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2.孕妇禁用。</w:t>
      </w:r>
    </w:p>
    <w:p w14:paraId="64CC633B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 w:val="0"/>
        <w:spacing w:beforeLines="0" w:afterLines="0"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3.对本品及所含成份过敏者禁用。</w:t>
      </w:r>
    </w:p>
    <w:bookmarkEnd w:id="2"/>
    <w:bookmarkEnd w:id="3"/>
    <w:p w14:paraId="64BACEF3">
      <w:pPr>
        <w:spacing w:beforeLines="0" w:afterLines="0" w:line="600" w:lineRule="exact"/>
        <w:ind w:firstLine="640"/>
        <w:jc w:val="left"/>
        <w:rPr>
          <w:rFonts w:ascii="Times New Roman" w:hAnsi="Times New Roman" w:eastAsia="黑体" w:cs="Times New Roman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sz w:val="32"/>
          <w:szCs w:val="32"/>
          <w:lang w:eastAsia="zh-CN"/>
        </w:rPr>
        <w:t>三</w:t>
      </w:r>
      <w:r>
        <w:rPr>
          <w:rFonts w:ascii="Times New Roman" w:hAnsi="Times New Roman" w:eastAsia="黑体" w:cs="Times New Roman"/>
          <w:bCs/>
          <w:sz w:val="32"/>
          <w:szCs w:val="32"/>
        </w:rPr>
        <w:t>、【注意事项】项应当包括</w:t>
      </w:r>
    </w:p>
    <w:p w14:paraId="7FD1960D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 w:val="0"/>
        <w:spacing w:beforeLines="0" w:afterLines="0"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1.</w:t>
      </w:r>
      <w:bookmarkStart w:id="4" w:name="OLE_LINK51"/>
      <w:bookmarkStart w:id="5" w:name="OLE_LINK49"/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严格按照用法用量使用，不宜超剂量、长期连续用药。</w:t>
      </w:r>
    </w:p>
    <w:p w14:paraId="1D7D6377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 w:val="0"/>
        <w:spacing w:beforeLines="0" w:afterLines="0"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2.已知有本品或组方药物肝损伤个人史的患者不宜使用。</w:t>
      </w:r>
    </w:p>
    <w:p w14:paraId="67BD0552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 w:val="0"/>
        <w:spacing w:beforeLines="0" w:afterLines="0"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3.有肝病史或肝生化指标异常者慎用。</w:t>
      </w:r>
    </w:p>
    <w:p w14:paraId="21224404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 w:val="0"/>
        <w:spacing w:beforeLines="0" w:afterLines="0"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4.已知有本品或组方药物肝损伤家族史的患者慎用。</w:t>
      </w:r>
    </w:p>
    <w:p w14:paraId="205B504E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 w:val="0"/>
        <w:spacing w:beforeLines="0" w:afterLines="0"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5.服药期间应注意监测肝生化指标，如发现肝生化指标异常或出现全身乏力、食欲不振、厌油腻、恶心、上腹胀痛、尿黄、目黄、皮肤黄染等可能与肝损伤有关的临床表现时，或原有肝生化指标异常、肝损伤临床症状加重时，应立即停药并就医。</w:t>
      </w:r>
      <w:bookmarkStart w:id="6" w:name="_GoBack"/>
      <w:bookmarkEnd w:id="6"/>
    </w:p>
    <w:bookmarkEnd w:id="4"/>
    <w:bookmarkEnd w:id="5"/>
    <w:p w14:paraId="19480F2D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 w:val="0"/>
        <w:spacing w:beforeLines="0" w:afterLines="0"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6.应当注意避免与有肝毒性的药物联合使用。</w:t>
      </w:r>
    </w:p>
    <w:p w14:paraId="2249EDFB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 w:val="0"/>
        <w:spacing w:beforeLines="0" w:afterLines="0"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7.过敏体质者慎用，降脂灵制剂有发生过敏性休克的个例报告。</w:t>
      </w:r>
    </w:p>
    <w:p w14:paraId="24CDCC75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 w:val="0"/>
        <w:spacing w:beforeLines="0" w:afterLines="0"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8.脾虚腹泻者慎用。</w:t>
      </w:r>
    </w:p>
    <w:p w14:paraId="6B658B55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 w:val="0"/>
        <w:spacing w:beforeLines="0" w:afterLines="0"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 w14:paraId="51BA5F96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 w:val="0"/>
        <w:spacing w:beforeLines="0" w:afterLines="0"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（注：如原批准说明书的安全性内容较本修订要求内容更全面或更严格的，应当保留原批准内容，说明书其他内容如与上述修订要求不一致的，应当一并进行修订。）</w:t>
      </w:r>
    </w:p>
    <w:p w14:paraId="1C7CD97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0D2F77"/>
    <w:rsid w:val="3A0B6BE1"/>
    <w:rsid w:val="640D2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553</Words>
  <Characters>569</Characters>
  <Lines>0</Lines>
  <Paragraphs>0</Paragraphs>
  <TotalTime>0</TotalTime>
  <ScaleCrop>false</ScaleCrop>
  <LinksUpToDate>false</LinksUpToDate>
  <CharactersWithSpaces>569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2026-10-22T10:07:00Z</dcterms:created>
  <dc:creator>YU</dc:creator>
  <cp:lastModifiedBy>YU</cp:lastModifiedBy>
  <dcterms:modified xsi:type="dcterms:W3CDTF">2026-10-22T10:16:42Z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93BB02D6EF874B25BEA2F67BF0964E5C_11</vt:lpwstr>
  </property>
  <property fmtid="{D5CDD505-2E9C-101B-9397-08002B2CF9AE}" pid="4" name="KSOTemplateDocerSaveRecord">
    <vt:lpwstr>eyJoZGlkIjoiNzUzMjcxYjI3MDRjMDIwZmVmYTgzNGM3MjE3OGJkMDMiLCJ1c2VySWQiOiIyNzgyMDExNzcifQ==</vt:lpwstr>
  </property>
</Properties>
</file>