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A31178">
      <w:pPr>
        <w:spacing w:line="240" w:lineRule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附件2</w:t>
      </w:r>
    </w:p>
    <w:p w14:paraId="4550E396">
      <w:pPr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</w:p>
    <w:p w14:paraId="23E02BBE">
      <w:pPr>
        <w:jc w:val="center"/>
        <w:rPr>
          <w:rFonts w:ascii="Times New Roman" w:hAnsi="Times New Roman" w:eastAsia="方正小标宋简体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非处方药说明书范本</w:t>
      </w:r>
    </w:p>
    <w:p w14:paraId="023323CA">
      <w:pPr>
        <w:keepNext/>
        <w:keepLines/>
        <w:spacing w:before="260" w:after="260" w:line="408" w:lineRule="auto"/>
        <w:jc w:val="center"/>
        <w:outlineLvl w:val="1"/>
        <w:rPr>
          <w:rFonts w:ascii="Times New Roman" w:hAnsi="Times New Roman" w:cs="Times New Roman"/>
          <w:b/>
          <w:color w:val="auto"/>
          <w:sz w:val="30"/>
          <w:szCs w:val="20"/>
        </w:rPr>
      </w:pPr>
      <w:r>
        <w:rPr>
          <w:rFonts w:hint="default" w:ascii="Times New Roman" w:hAnsi="Times New Roman" w:cs="Times New Roman"/>
          <w:b/>
          <w:color w:val="auto"/>
          <w:sz w:val="30"/>
          <w:szCs w:val="20"/>
        </w:rPr>
        <w:t>暖宫七味散说明书</w:t>
      </w:r>
    </w:p>
    <w:p w14:paraId="5A0A5D77">
      <w:pPr>
        <w:spacing w:line="0" w:lineRule="atLeast"/>
        <w:jc w:val="center"/>
        <w:rPr>
          <w:rFonts w:ascii="Times New Roman" w:hAnsi="Times New Roman" w:cs="Times New Roman"/>
          <w:b/>
          <w:color w:val="auto"/>
          <w:szCs w:val="21"/>
        </w:rPr>
      </w:pPr>
      <w:r>
        <w:rPr>
          <w:rFonts w:ascii="Times New Roman" w:hAnsi="Times New Roman" w:cs="Times New Roman"/>
          <w:b/>
          <w:color w:val="auto"/>
          <w:szCs w:val="21"/>
        </w:rPr>
        <w:t>请仔细阅读说明书并按说明使用或在药师指导下购买和使用</w:t>
      </w:r>
    </w:p>
    <w:p w14:paraId="51F4C1C6">
      <w:pPr>
        <w:spacing w:line="0" w:lineRule="atLeast"/>
        <w:rPr>
          <w:rFonts w:ascii="Times New Roman" w:hAnsi="Times New Roman" w:cs="Times New Roman"/>
          <w:color w:val="auto"/>
          <w:szCs w:val="21"/>
        </w:rPr>
      </w:pPr>
      <w:r>
        <w:rPr>
          <w:rFonts w:ascii="Times New Roman" w:hAnsi="Times New Roman" w:cs="Times New Roman"/>
          <w:color w:val="auto"/>
          <w:szCs w:val="21"/>
        </w:rPr>
        <w:t>[药品名称]</w:t>
      </w:r>
    </w:p>
    <w:p w14:paraId="1378CD90">
      <w:pPr>
        <w:spacing w:line="0" w:lineRule="atLeast"/>
        <w:rPr>
          <w:rFonts w:ascii="Times New Roman" w:hAnsi="Times New Roman" w:cs="Times New Roman"/>
          <w:color w:val="auto"/>
          <w:szCs w:val="21"/>
        </w:rPr>
      </w:pPr>
      <w:r>
        <w:rPr>
          <w:rFonts w:ascii="Times New Roman" w:hAnsi="Times New Roman" w:cs="Times New Roman"/>
          <w:color w:val="auto"/>
          <w:szCs w:val="21"/>
        </w:rPr>
        <w:t>通用名称：暖宫七味散</w:t>
      </w:r>
    </w:p>
    <w:p w14:paraId="00861617">
      <w:pPr>
        <w:spacing w:line="0" w:lineRule="atLeast"/>
        <w:rPr>
          <w:rFonts w:ascii="Times New Roman" w:hAnsi="Times New Roman" w:cs="Times New Roman"/>
          <w:color w:val="auto"/>
          <w:szCs w:val="21"/>
        </w:rPr>
      </w:pPr>
      <w:r>
        <w:rPr>
          <w:rFonts w:ascii="Times New Roman" w:hAnsi="Times New Roman" w:cs="Times New Roman"/>
          <w:color w:val="auto"/>
          <w:szCs w:val="21"/>
        </w:rPr>
        <w:t>汉语拼音：</w:t>
      </w:r>
    </w:p>
    <w:p w14:paraId="1EC4C062">
      <w:pPr>
        <w:spacing w:line="0" w:lineRule="atLeast"/>
        <w:rPr>
          <w:rFonts w:ascii="Times New Roman" w:hAnsi="Times New Roman" w:cs="Times New Roman"/>
          <w:color w:val="auto"/>
          <w:szCs w:val="21"/>
        </w:rPr>
      </w:pPr>
      <w:r>
        <w:rPr>
          <w:rFonts w:ascii="Times New Roman" w:hAnsi="Times New Roman" w:cs="Times New Roman"/>
          <w:color w:val="auto"/>
          <w:szCs w:val="21"/>
        </w:rPr>
        <w:t>[成份]</w:t>
      </w:r>
    </w:p>
    <w:p w14:paraId="129FF1F8">
      <w:pPr>
        <w:spacing w:line="0" w:lineRule="atLeast"/>
        <w:rPr>
          <w:rFonts w:ascii="Times New Roman" w:hAnsi="Times New Roman" w:cs="Times New Roman"/>
          <w:color w:val="auto"/>
          <w:szCs w:val="21"/>
        </w:rPr>
      </w:pPr>
      <w:r>
        <w:rPr>
          <w:rFonts w:ascii="Times New Roman" w:hAnsi="Times New Roman" w:cs="Times New Roman"/>
          <w:color w:val="auto"/>
          <w:szCs w:val="21"/>
        </w:rPr>
        <w:t>[性状]</w:t>
      </w:r>
    </w:p>
    <w:p w14:paraId="2E554DDB">
      <w:pPr>
        <w:spacing w:line="0" w:lineRule="atLeast"/>
        <w:rPr>
          <w:rFonts w:ascii="Times New Roman" w:hAnsi="Times New Roman" w:cs="Times New Roman"/>
          <w:color w:val="auto"/>
          <w:szCs w:val="21"/>
        </w:rPr>
      </w:pPr>
      <w:r>
        <w:rPr>
          <w:rFonts w:ascii="Times New Roman" w:hAnsi="Times New Roman" w:cs="Times New Roman"/>
          <w:color w:val="auto"/>
          <w:szCs w:val="21"/>
        </w:rPr>
        <w:t>[功能主治]调经养血，暖宫止带。用于心、肾“赫依”病，气滞腰痛，小腹冷痛，月经不调，白带过多。</w:t>
      </w:r>
    </w:p>
    <w:p w14:paraId="00990938">
      <w:pPr>
        <w:spacing w:line="0" w:lineRule="atLeast"/>
        <w:rPr>
          <w:rFonts w:ascii="Times New Roman" w:hAnsi="Times New Roman" w:cs="Times New Roman"/>
          <w:color w:val="auto"/>
          <w:szCs w:val="21"/>
        </w:rPr>
      </w:pPr>
      <w:r>
        <w:rPr>
          <w:rFonts w:ascii="Times New Roman" w:hAnsi="Times New Roman" w:cs="Times New Roman"/>
          <w:color w:val="auto"/>
          <w:szCs w:val="21"/>
        </w:rPr>
        <w:t>[规格]每1克相当于饮片1克</w:t>
      </w:r>
    </w:p>
    <w:p w14:paraId="0098D20D">
      <w:pPr>
        <w:spacing w:line="0" w:lineRule="atLeast"/>
        <w:rPr>
          <w:rFonts w:ascii="Times New Roman" w:hAnsi="Times New Roman" w:cs="Times New Roman"/>
          <w:color w:val="auto"/>
          <w:szCs w:val="21"/>
        </w:rPr>
      </w:pPr>
      <w:r>
        <w:rPr>
          <w:rFonts w:ascii="Times New Roman" w:hAnsi="Times New Roman" w:cs="Times New Roman"/>
          <w:color w:val="auto"/>
          <w:szCs w:val="21"/>
        </w:rPr>
        <w:t>[用法用量]口服。一次1.5～3克，一日1～2次。</w:t>
      </w:r>
    </w:p>
    <w:p w14:paraId="6CB0C0B2">
      <w:pPr>
        <w:spacing w:line="0" w:lineRule="atLeast"/>
        <w:rPr>
          <w:rFonts w:ascii="Times New Roman" w:hAnsi="Times New Roman" w:cs="Times New Roman"/>
          <w:color w:val="auto"/>
          <w:szCs w:val="21"/>
        </w:rPr>
      </w:pPr>
      <w:r>
        <w:rPr>
          <w:rFonts w:ascii="Times New Roman" w:hAnsi="Times New Roman" w:cs="Times New Roman"/>
          <w:color w:val="auto"/>
          <w:szCs w:val="21"/>
        </w:rPr>
        <w:t>[不良反应] 监测数据显示，本品可见以下不良反应报告：呕吐、恶心、腹泻</w:t>
      </w:r>
      <w:r>
        <w:rPr>
          <w:rFonts w:hint="default" w:ascii="Times New Roman" w:hAnsi="Times New Roman" w:cs="Times New Roman"/>
          <w:color w:val="auto"/>
          <w:szCs w:val="21"/>
        </w:rPr>
        <w:t>、</w:t>
      </w:r>
      <w:r>
        <w:rPr>
          <w:rFonts w:ascii="Times New Roman" w:hAnsi="Times New Roman" w:cs="Times New Roman"/>
          <w:color w:val="auto"/>
          <w:szCs w:val="21"/>
        </w:rPr>
        <w:t>腹痛、腹部不适、</w:t>
      </w:r>
      <w:r>
        <w:rPr>
          <w:rFonts w:hint="default" w:ascii="Times New Roman" w:hAnsi="Times New Roman" w:cs="Times New Roman"/>
          <w:color w:val="auto"/>
          <w:szCs w:val="21"/>
        </w:rPr>
        <w:t>反酸</w:t>
      </w:r>
      <w:r>
        <w:rPr>
          <w:rFonts w:ascii="Times New Roman" w:hAnsi="Times New Roman" w:cs="Times New Roman"/>
          <w:color w:val="auto"/>
          <w:szCs w:val="21"/>
        </w:rPr>
        <w:t>、口干、皮疹、瘙痒、荨麻疹、头晕、乏力、过敏反应等。</w:t>
      </w:r>
    </w:p>
    <w:p w14:paraId="48C90700">
      <w:pPr>
        <w:spacing w:line="0" w:lineRule="atLeast"/>
        <w:rPr>
          <w:rFonts w:ascii="Times New Roman" w:hAnsi="Times New Roman" w:cs="Times New Roman"/>
          <w:b/>
          <w:color w:val="auto"/>
          <w:szCs w:val="21"/>
        </w:rPr>
      </w:pPr>
      <w:r>
        <w:rPr>
          <w:rFonts w:ascii="Times New Roman" w:hAnsi="Times New Roman" w:cs="Times New Roman"/>
          <w:b/>
          <w:color w:val="auto"/>
          <w:szCs w:val="21"/>
        </w:rPr>
        <w:t>[禁忌]</w:t>
      </w:r>
    </w:p>
    <w:p w14:paraId="5B5882A1">
      <w:pPr>
        <w:spacing w:line="0" w:lineRule="atLeast"/>
        <w:rPr>
          <w:rFonts w:ascii="Times New Roman" w:hAnsi="Times New Roman" w:cs="Times New Roman"/>
          <w:b/>
          <w:color w:val="auto"/>
          <w:szCs w:val="21"/>
        </w:rPr>
      </w:pPr>
      <w:r>
        <w:rPr>
          <w:rFonts w:ascii="Times New Roman" w:hAnsi="Times New Roman" w:cs="Times New Roman"/>
          <w:b/>
          <w:color w:val="auto"/>
          <w:szCs w:val="21"/>
        </w:rPr>
        <w:t>1.孕妇忌服。</w:t>
      </w:r>
    </w:p>
    <w:p w14:paraId="7FBDACA5">
      <w:pPr>
        <w:spacing w:line="0" w:lineRule="atLeast"/>
        <w:rPr>
          <w:rFonts w:ascii="Times New Roman" w:hAnsi="Times New Roman" w:cs="Times New Roman"/>
          <w:b/>
          <w:color w:val="auto"/>
          <w:szCs w:val="21"/>
        </w:rPr>
      </w:pPr>
      <w:r>
        <w:rPr>
          <w:rFonts w:ascii="Times New Roman" w:hAnsi="Times New Roman" w:cs="Times New Roman"/>
          <w:b/>
          <w:color w:val="auto"/>
          <w:szCs w:val="21"/>
        </w:rPr>
        <w:t>2.对本品及所含成份过敏者禁用。</w:t>
      </w:r>
    </w:p>
    <w:p w14:paraId="3AB00E16">
      <w:pPr>
        <w:spacing w:line="0" w:lineRule="atLeast"/>
        <w:rPr>
          <w:rFonts w:ascii="Times New Roman" w:hAnsi="Times New Roman" w:cs="Times New Roman"/>
          <w:b/>
          <w:color w:val="auto"/>
          <w:szCs w:val="21"/>
        </w:rPr>
      </w:pPr>
      <w:r>
        <w:rPr>
          <w:rFonts w:ascii="Times New Roman" w:hAnsi="Times New Roman" w:cs="Times New Roman"/>
          <w:b/>
          <w:color w:val="auto"/>
          <w:szCs w:val="21"/>
        </w:rPr>
        <w:t>[注意事项]</w:t>
      </w:r>
    </w:p>
    <w:p w14:paraId="71DF315C">
      <w:pPr>
        <w:spacing w:line="0" w:lineRule="atLeast"/>
        <w:rPr>
          <w:rFonts w:ascii="Times New Roman" w:hAnsi="Times New Roman" w:cs="Times New Roman"/>
          <w:b/>
          <w:color w:val="auto"/>
          <w:szCs w:val="21"/>
        </w:rPr>
      </w:pPr>
      <w:r>
        <w:rPr>
          <w:rFonts w:ascii="Times New Roman" w:hAnsi="Times New Roman" w:cs="Times New Roman"/>
          <w:b/>
          <w:color w:val="auto"/>
          <w:szCs w:val="21"/>
        </w:rPr>
        <w:t xml:space="preserve">1.忌食寒凉、生冷食物。 </w:t>
      </w:r>
    </w:p>
    <w:p w14:paraId="054241CC">
      <w:pPr>
        <w:spacing w:line="0" w:lineRule="atLeast"/>
        <w:rPr>
          <w:rFonts w:ascii="Times New Roman" w:hAnsi="Times New Roman" w:cs="Times New Roman"/>
          <w:b/>
          <w:color w:val="auto"/>
          <w:szCs w:val="21"/>
        </w:rPr>
      </w:pPr>
      <w:r>
        <w:rPr>
          <w:rFonts w:ascii="Times New Roman" w:hAnsi="Times New Roman" w:cs="Times New Roman"/>
          <w:b/>
          <w:color w:val="auto"/>
          <w:szCs w:val="21"/>
        </w:rPr>
        <w:t xml:space="preserve">2.感冒时不宜服用本药。 </w:t>
      </w:r>
    </w:p>
    <w:p w14:paraId="2C3BB1A2">
      <w:pPr>
        <w:spacing w:line="0" w:lineRule="atLeast"/>
        <w:rPr>
          <w:rFonts w:ascii="Times New Roman" w:hAnsi="Times New Roman" w:cs="Times New Roman"/>
          <w:b/>
          <w:color w:val="auto"/>
          <w:szCs w:val="21"/>
        </w:rPr>
      </w:pPr>
      <w:r>
        <w:rPr>
          <w:rFonts w:ascii="Times New Roman" w:hAnsi="Times New Roman" w:cs="Times New Roman"/>
          <w:b/>
          <w:color w:val="auto"/>
          <w:szCs w:val="21"/>
        </w:rPr>
        <w:t xml:space="preserve">3.忌气恼劳碌。 </w:t>
      </w:r>
    </w:p>
    <w:p w14:paraId="53739DD0">
      <w:pPr>
        <w:spacing w:line="0" w:lineRule="atLeast"/>
        <w:rPr>
          <w:rFonts w:ascii="Times New Roman" w:hAnsi="Times New Roman" w:cs="Times New Roman"/>
          <w:b/>
          <w:color w:val="auto"/>
          <w:szCs w:val="21"/>
        </w:rPr>
      </w:pPr>
      <w:r>
        <w:rPr>
          <w:rFonts w:ascii="Times New Roman" w:hAnsi="Times New Roman" w:cs="Times New Roman"/>
          <w:b/>
          <w:color w:val="auto"/>
          <w:szCs w:val="21"/>
        </w:rPr>
        <w:t xml:space="preserve">4.平素月经量正常，突然出现经量过多、经期延长、月经后错、经量过少，须去医院就诊。 </w:t>
      </w:r>
    </w:p>
    <w:p w14:paraId="0077B650">
      <w:pPr>
        <w:spacing w:line="0" w:lineRule="atLeast"/>
        <w:rPr>
          <w:rFonts w:ascii="Times New Roman" w:hAnsi="Times New Roman" w:cs="Times New Roman"/>
          <w:b/>
          <w:color w:val="auto"/>
          <w:szCs w:val="21"/>
        </w:rPr>
      </w:pPr>
      <w:r>
        <w:rPr>
          <w:rFonts w:ascii="Times New Roman" w:hAnsi="Times New Roman" w:cs="Times New Roman"/>
          <w:b/>
          <w:color w:val="auto"/>
          <w:szCs w:val="21"/>
        </w:rPr>
        <w:t xml:space="preserve">5.经期延长，月经量过多合并贫血者，应在医师指导下服用。 </w:t>
      </w:r>
    </w:p>
    <w:p w14:paraId="3EC0EF48">
      <w:pPr>
        <w:spacing w:line="0" w:lineRule="atLeast"/>
        <w:rPr>
          <w:rFonts w:ascii="Times New Roman" w:hAnsi="Times New Roman" w:cs="Times New Roman"/>
          <w:b/>
          <w:color w:val="auto"/>
          <w:szCs w:val="21"/>
        </w:rPr>
      </w:pPr>
      <w:r>
        <w:rPr>
          <w:rFonts w:ascii="Times New Roman" w:hAnsi="Times New Roman" w:cs="Times New Roman"/>
          <w:b/>
          <w:color w:val="auto"/>
          <w:szCs w:val="21"/>
        </w:rPr>
        <w:t>6.青春期少女及更年期妇女应在医师指导下服用。有生育要求应在医师指导下服用。</w:t>
      </w:r>
    </w:p>
    <w:p w14:paraId="3D5F94D6">
      <w:pPr>
        <w:spacing w:line="0" w:lineRule="atLeast"/>
        <w:rPr>
          <w:rFonts w:ascii="Times New Roman" w:hAnsi="Times New Roman" w:cs="Times New Roman"/>
          <w:b/>
          <w:color w:val="auto"/>
          <w:szCs w:val="21"/>
        </w:rPr>
      </w:pPr>
      <w:r>
        <w:rPr>
          <w:rFonts w:ascii="Times New Roman" w:hAnsi="Times New Roman" w:cs="Times New Roman"/>
          <w:b/>
          <w:color w:val="auto"/>
          <w:szCs w:val="21"/>
        </w:rPr>
        <w:t>7.一般服药一个月经周期，其症状无改善，或月经量过多，或经水淋漓不净超过半个月，或出现其他症状者，应去医院就诊。</w:t>
      </w:r>
    </w:p>
    <w:p w14:paraId="00A53774">
      <w:pPr>
        <w:spacing w:line="0" w:lineRule="atLeast"/>
        <w:rPr>
          <w:rFonts w:ascii="Times New Roman" w:hAnsi="Times New Roman" w:cs="Times New Roman"/>
          <w:b/>
          <w:color w:val="auto"/>
          <w:szCs w:val="21"/>
        </w:rPr>
      </w:pPr>
      <w:r>
        <w:rPr>
          <w:rFonts w:ascii="Times New Roman" w:hAnsi="Times New Roman" w:cs="Times New Roman"/>
          <w:b/>
          <w:color w:val="auto"/>
          <w:szCs w:val="21"/>
        </w:rPr>
        <w:t xml:space="preserve">8.过敏体质者慎用。 </w:t>
      </w:r>
    </w:p>
    <w:p w14:paraId="2E4B16BF">
      <w:pPr>
        <w:spacing w:line="0" w:lineRule="atLeast"/>
        <w:rPr>
          <w:rFonts w:ascii="Times New Roman" w:hAnsi="Times New Roman" w:cs="Times New Roman"/>
          <w:b/>
          <w:color w:val="auto"/>
          <w:szCs w:val="21"/>
        </w:rPr>
      </w:pPr>
      <w:r>
        <w:rPr>
          <w:rFonts w:ascii="Times New Roman" w:hAnsi="Times New Roman" w:cs="Times New Roman"/>
          <w:b/>
          <w:color w:val="auto"/>
          <w:szCs w:val="21"/>
        </w:rPr>
        <w:t xml:space="preserve">9.本品性状发生改变时禁止使用。 </w:t>
      </w:r>
    </w:p>
    <w:p w14:paraId="54B7DD3E">
      <w:pPr>
        <w:spacing w:line="0" w:lineRule="atLeast"/>
        <w:rPr>
          <w:rFonts w:ascii="Times New Roman" w:hAnsi="Times New Roman" w:cs="Times New Roman"/>
          <w:b/>
          <w:color w:val="auto"/>
          <w:szCs w:val="21"/>
        </w:rPr>
      </w:pPr>
      <w:r>
        <w:rPr>
          <w:rFonts w:ascii="Times New Roman" w:hAnsi="Times New Roman" w:cs="Times New Roman"/>
          <w:b/>
          <w:color w:val="auto"/>
          <w:szCs w:val="21"/>
        </w:rPr>
        <w:t xml:space="preserve">10.请将本品放在儿童不能接触的地方。 </w:t>
      </w:r>
    </w:p>
    <w:p w14:paraId="2100A179">
      <w:pPr>
        <w:spacing w:line="0" w:lineRule="atLeast"/>
        <w:rPr>
          <w:rFonts w:ascii="Times New Roman" w:hAnsi="Times New Roman" w:cs="Times New Roman"/>
          <w:b/>
          <w:color w:val="auto"/>
          <w:szCs w:val="21"/>
        </w:rPr>
      </w:pPr>
      <w:r>
        <w:rPr>
          <w:rFonts w:ascii="Times New Roman" w:hAnsi="Times New Roman" w:cs="Times New Roman"/>
          <w:b/>
          <w:color w:val="auto"/>
          <w:szCs w:val="21"/>
        </w:rPr>
        <w:t>11.如正在使用其他药品，使用本品前请咨询医师或药师。</w:t>
      </w:r>
    </w:p>
    <w:p w14:paraId="0BF3D9A2">
      <w:pPr>
        <w:spacing w:line="0" w:lineRule="atLeast"/>
        <w:rPr>
          <w:rFonts w:ascii="Times New Roman" w:hAnsi="Times New Roman" w:cs="Times New Roman"/>
          <w:color w:val="auto"/>
          <w:szCs w:val="21"/>
        </w:rPr>
      </w:pPr>
      <w:r>
        <w:rPr>
          <w:rFonts w:ascii="Times New Roman" w:hAnsi="Times New Roman" w:cs="Times New Roman"/>
          <w:color w:val="auto"/>
          <w:szCs w:val="21"/>
        </w:rPr>
        <w:t>[药物相互作用]如与其他药物同时使用可能会发生药物相互作用，详情请咨询医师或药师</w:t>
      </w:r>
    </w:p>
    <w:p w14:paraId="37142EB7">
      <w:pPr>
        <w:spacing w:line="0" w:lineRule="atLeast"/>
        <w:rPr>
          <w:rFonts w:ascii="Times New Roman" w:hAnsi="Times New Roman" w:cs="Times New Roman"/>
          <w:color w:val="auto"/>
          <w:szCs w:val="21"/>
        </w:rPr>
      </w:pPr>
      <w:r>
        <w:rPr>
          <w:rFonts w:ascii="Times New Roman" w:hAnsi="Times New Roman" w:cs="Times New Roman"/>
          <w:color w:val="auto"/>
          <w:szCs w:val="21"/>
        </w:rPr>
        <w:t>[贮藏]</w:t>
      </w:r>
      <w:r>
        <w:rPr>
          <w:rFonts w:ascii="Times New Roman" w:hAnsi="Times New Roman" w:cs="Times New Roman"/>
          <w:color w:val="auto"/>
          <w:szCs w:val="21"/>
        </w:rPr>
        <w:br w:type="textWrapping"/>
      </w:r>
      <w:r>
        <w:rPr>
          <w:rFonts w:ascii="Times New Roman" w:hAnsi="Times New Roman" w:cs="Times New Roman"/>
          <w:color w:val="auto"/>
          <w:szCs w:val="21"/>
        </w:rPr>
        <w:t>[包装]</w:t>
      </w:r>
      <w:r>
        <w:rPr>
          <w:rFonts w:ascii="Times New Roman" w:hAnsi="Times New Roman" w:cs="Times New Roman"/>
          <w:color w:val="auto"/>
          <w:szCs w:val="21"/>
        </w:rPr>
        <w:br w:type="textWrapping"/>
      </w:r>
      <w:r>
        <w:rPr>
          <w:rFonts w:ascii="Times New Roman" w:hAnsi="Times New Roman" w:cs="Times New Roman"/>
          <w:color w:val="auto"/>
          <w:szCs w:val="21"/>
        </w:rPr>
        <w:t>[有效期]</w:t>
      </w:r>
      <w:r>
        <w:rPr>
          <w:rFonts w:ascii="Times New Roman" w:hAnsi="Times New Roman" w:cs="Times New Roman"/>
          <w:color w:val="auto"/>
          <w:szCs w:val="21"/>
        </w:rPr>
        <w:br w:type="textWrapping"/>
      </w:r>
      <w:r>
        <w:rPr>
          <w:rFonts w:ascii="Times New Roman" w:hAnsi="Times New Roman" w:cs="Times New Roman"/>
          <w:color w:val="auto"/>
          <w:szCs w:val="21"/>
        </w:rPr>
        <w:t>[执行标准]</w:t>
      </w:r>
      <w:r>
        <w:rPr>
          <w:rFonts w:ascii="Times New Roman" w:hAnsi="Times New Roman" w:cs="Times New Roman"/>
          <w:color w:val="auto"/>
          <w:szCs w:val="21"/>
        </w:rPr>
        <w:br w:type="textWrapping"/>
      </w:r>
      <w:r>
        <w:rPr>
          <w:rFonts w:ascii="Times New Roman" w:hAnsi="Times New Roman" w:cs="Times New Roman"/>
          <w:color w:val="auto"/>
          <w:szCs w:val="21"/>
        </w:rPr>
        <w:t>[批准文号]</w:t>
      </w:r>
      <w:r>
        <w:rPr>
          <w:rFonts w:ascii="Times New Roman" w:hAnsi="Times New Roman" w:cs="Times New Roman"/>
          <w:color w:val="auto"/>
          <w:szCs w:val="21"/>
        </w:rPr>
        <w:br w:type="textWrapping"/>
      </w:r>
      <w:r>
        <w:rPr>
          <w:rFonts w:ascii="Times New Roman" w:hAnsi="Times New Roman" w:cs="Times New Roman"/>
          <w:color w:val="auto"/>
          <w:szCs w:val="21"/>
        </w:rPr>
        <w:t>[说明书修订日期]</w:t>
      </w:r>
      <w:r>
        <w:rPr>
          <w:rFonts w:ascii="Times New Roman" w:hAnsi="Times New Roman" w:cs="Times New Roman"/>
          <w:color w:val="auto"/>
          <w:szCs w:val="21"/>
        </w:rPr>
        <w:br w:type="textWrapping"/>
      </w:r>
      <w:r>
        <w:rPr>
          <w:rFonts w:ascii="Times New Roman" w:hAnsi="Times New Roman" w:cs="Times New Roman"/>
          <w:color w:val="auto"/>
          <w:szCs w:val="21"/>
        </w:rPr>
        <w:t>[药品上市许可持有人]</w:t>
      </w:r>
    </w:p>
    <w:p w14:paraId="441811D6">
      <w:pPr>
        <w:spacing w:line="0" w:lineRule="atLeast"/>
        <w:rPr>
          <w:rFonts w:ascii="Times New Roman" w:hAnsi="Times New Roman" w:cs="Times New Roman"/>
          <w:b/>
          <w:color w:val="auto"/>
          <w:szCs w:val="21"/>
        </w:rPr>
      </w:pPr>
      <w:r>
        <w:rPr>
          <w:rFonts w:ascii="Times New Roman" w:hAnsi="Times New Roman" w:cs="Times New Roman"/>
          <w:color w:val="auto"/>
          <w:szCs w:val="21"/>
        </w:rPr>
        <w:t xml:space="preserve">名   称： </w:t>
      </w:r>
      <w:r>
        <w:rPr>
          <w:rFonts w:ascii="Times New Roman" w:hAnsi="Times New Roman" w:cs="Times New Roman"/>
          <w:color w:val="auto"/>
          <w:szCs w:val="21"/>
        </w:rPr>
        <w:br w:type="textWrapping"/>
      </w:r>
      <w:r>
        <w:rPr>
          <w:rFonts w:ascii="Times New Roman" w:hAnsi="Times New Roman" w:cs="Times New Roman"/>
          <w:color w:val="auto"/>
          <w:szCs w:val="21"/>
        </w:rPr>
        <w:t>注册地址：</w:t>
      </w:r>
      <w:r>
        <w:rPr>
          <w:rFonts w:ascii="Times New Roman" w:hAnsi="Times New Roman" w:cs="Times New Roman"/>
          <w:color w:val="auto"/>
          <w:szCs w:val="21"/>
        </w:rPr>
        <w:br w:type="textWrapping"/>
      </w:r>
      <w:r>
        <w:rPr>
          <w:rFonts w:ascii="Times New Roman" w:hAnsi="Times New Roman" w:cs="Times New Roman"/>
          <w:color w:val="auto"/>
          <w:szCs w:val="21"/>
        </w:rPr>
        <w:t>邮政编码：</w:t>
      </w:r>
      <w:r>
        <w:rPr>
          <w:rFonts w:ascii="Times New Roman" w:hAnsi="Times New Roman" w:cs="Times New Roman"/>
          <w:color w:val="auto"/>
          <w:szCs w:val="21"/>
        </w:rPr>
        <w:br w:type="textWrapping"/>
      </w:r>
      <w:r>
        <w:rPr>
          <w:rFonts w:ascii="Times New Roman" w:hAnsi="Times New Roman" w:cs="Times New Roman"/>
          <w:color w:val="auto"/>
          <w:szCs w:val="21"/>
        </w:rPr>
        <w:t>电话号码：</w:t>
      </w:r>
      <w:r>
        <w:rPr>
          <w:rFonts w:ascii="Times New Roman" w:hAnsi="Times New Roman" w:cs="Times New Roman"/>
          <w:color w:val="auto"/>
          <w:szCs w:val="21"/>
        </w:rPr>
        <w:br w:type="textWrapping"/>
      </w:r>
      <w:r>
        <w:rPr>
          <w:rFonts w:ascii="Times New Roman" w:hAnsi="Times New Roman" w:cs="Times New Roman"/>
          <w:color w:val="auto"/>
          <w:szCs w:val="21"/>
        </w:rPr>
        <w:t>传真号码：</w:t>
      </w:r>
      <w:r>
        <w:rPr>
          <w:rFonts w:ascii="Times New Roman" w:hAnsi="Times New Roman" w:cs="Times New Roman"/>
          <w:color w:val="auto"/>
          <w:szCs w:val="21"/>
        </w:rPr>
        <w:br w:type="textWrapping"/>
      </w:r>
      <w:r>
        <w:rPr>
          <w:rFonts w:ascii="Times New Roman" w:hAnsi="Times New Roman" w:cs="Times New Roman"/>
          <w:color w:val="auto"/>
          <w:szCs w:val="21"/>
        </w:rPr>
        <w:t>网 址：</w:t>
      </w:r>
      <w:r>
        <w:rPr>
          <w:rFonts w:ascii="Times New Roman" w:hAnsi="Times New Roman" w:cs="Times New Roman"/>
          <w:color w:val="auto"/>
          <w:szCs w:val="21"/>
        </w:rPr>
        <w:br w:type="textWrapping"/>
      </w:r>
      <w:r>
        <w:rPr>
          <w:rFonts w:ascii="Times New Roman" w:hAnsi="Times New Roman" w:cs="Times New Roman"/>
          <w:color w:val="auto"/>
          <w:szCs w:val="21"/>
        </w:rPr>
        <w:t>[生产企业]</w:t>
      </w:r>
      <w:r>
        <w:rPr>
          <w:rFonts w:ascii="Times New Roman" w:hAnsi="Times New Roman" w:cs="Times New Roman"/>
          <w:color w:val="auto"/>
          <w:szCs w:val="21"/>
        </w:rPr>
        <w:br w:type="textWrapping"/>
      </w:r>
      <w:r>
        <w:rPr>
          <w:rFonts w:ascii="Times New Roman" w:hAnsi="Times New Roman" w:cs="Times New Roman"/>
          <w:color w:val="auto"/>
          <w:szCs w:val="21"/>
        </w:rPr>
        <w:t xml:space="preserve">企业名称： </w:t>
      </w:r>
      <w:r>
        <w:rPr>
          <w:rFonts w:ascii="Times New Roman" w:hAnsi="Times New Roman" w:cs="Times New Roman"/>
          <w:color w:val="auto"/>
          <w:szCs w:val="21"/>
        </w:rPr>
        <w:br w:type="textWrapping"/>
      </w:r>
      <w:r>
        <w:rPr>
          <w:rFonts w:ascii="Times New Roman" w:hAnsi="Times New Roman" w:cs="Times New Roman"/>
          <w:color w:val="auto"/>
          <w:szCs w:val="21"/>
        </w:rPr>
        <w:t>生产地址：</w:t>
      </w:r>
      <w:r>
        <w:rPr>
          <w:rFonts w:ascii="Times New Roman" w:hAnsi="Times New Roman" w:cs="Times New Roman"/>
          <w:color w:val="auto"/>
          <w:szCs w:val="21"/>
        </w:rPr>
        <w:br w:type="textWrapping"/>
      </w:r>
      <w:r>
        <w:rPr>
          <w:rFonts w:ascii="Times New Roman" w:hAnsi="Times New Roman" w:cs="Times New Roman"/>
          <w:b/>
          <w:color w:val="auto"/>
          <w:szCs w:val="21"/>
        </w:rPr>
        <w:t>如有问题可与药品上市许可持有人联系。</w:t>
      </w:r>
    </w:p>
    <w:p w14:paraId="6C602169">
      <w:pPr>
        <w:spacing w:line="360" w:lineRule="exact"/>
        <w:rPr>
          <w:rFonts w:ascii="Times New Roman" w:hAnsi="Times New Roman" w:cs="Times New Roman"/>
          <w:b/>
          <w:color w:val="auto"/>
          <w:kern w:val="0"/>
          <w:lang w:bidi="ar"/>
        </w:rPr>
      </w:pPr>
    </w:p>
    <w:p w14:paraId="6C850D85">
      <w:pPr>
        <w:rPr>
          <w:rFonts w:ascii="Times New Roman" w:hAnsi="Times New Roman" w:cs="Times New Roman"/>
          <w:color w:val="auto"/>
          <w:kern w:val="0"/>
          <w:lang w:bidi="ar"/>
        </w:rPr>
      </w:pPr>
      <w:r>
        <w:rPr>
          <w:rFonts w:ascii="Times New Roman" w:hAnsi="Times New Roman" w:cs="Times New Roman"/>
          <w:color w:val="auto"/>
          <w:kern w:val="0"/>
          <w:lang w:bidi="ar"/>
        </w:rPr>
        <w:t>（注：本说明书范本原则上不得删减，如原批准说明书的安全性内容较本范本内容更全面</w:t>
      </w:r>
      <w:r>
        <w:rPr>
          <w:rFonts w:hint="default" w:ascii="Times New Roman" w:hAnsi="Times New Roman" w:cs="Times New Roman"/>
          <w:color w:val="auto"/>
          <w:kern w:val="0"/>
          <w:lang w:bidi="ar"/>
        </w:rPr>
        <w:t>或者</w:t>
      </w:r>
      <w:r>
        <w:rPr>
          <w:rFonts w:ascii="Times New Roman" w:hAnsi="Times New Roman" w:cs="Times New Roman"/>
          <w:color w:val="auto"/>
          <w:kern w:val="0"/>
          <w:lang w:bidi="ar"/>
        </w:rPr>
        <w:t>更严格的，应保留原批准内容。）</w:t>
      </w:r>
    </w:p>
    <w:p w14:paraId="65B705B2">
      <w:pPr>
        <w:rPr>
          <w:rFonts w:ascii="Times New Roman" w:hAnsi="Times New Roman" w:cs="Times New Roman"/>
          <w:color w:val="auto"/>
          <w:kern w:val="0"/>
          <w:lang w:bidi="ar"/>
        </w:rPr>
      </w:pPr>
    </w:p>
    <w:p w14:paraId="393B3EB5">
      <w:pPr>
        <w:rPr>
          <w:rFonts w:ascii="Times New Roman" w:hAnsi="Times New Roman" w:cs="Times New Roman"/>
          <w:color w:val="auto"/>
          <w:kern w:val="0"/>
          <w:lang w:bidi="ar"/>
        </w:rPr>
      </w:pPr>
    </w:p>
    <w:p w14:paraId="34B7CA2E">
      <w:pPr>
        <w:keepNext/>
        <w:keepLines/>
        <w:spacing w:before="260" w:after="260" w:line="408" w:lineRule="auto"/>
        <w:jc w:val="center"/>
        <w:outlineLvl w:val="1"/>
        <w:rPr>
          <w:rFonts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cs="Times New Roman"/>
          <w:b/>
          <w:color w:val="auto"/>
          <w:sz w:val="30"/>
          <w:szCs w:val="20"/>
        </w:rPr>
        <w:br w:type="page"/>
      </w:r>
      <w:r>
        <w:rPr>
          <w:rFonts w:hint="default" w:ascii="Times New Roman" w:hAnsi="Times New Roman" w:cs="Times New Roman"/>
          <w:b/>
          <w:color w:val="auto"/>
          <w:sz w:val="30"/>
          <w:szCs w:val="20"/>
        </w:rPr>
        <w:t>红花逍遥片说明书</w:t>
      </w:r>
    </w:p>
    <w:p w14:paraId="6CDCFEDE">
      <w:pPr>
        <w:spacing w:line="300" w:lineRule="exact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hint="default" w:ascii="Times New Roman" w:hAnsi="Times New Roman" w:cs="Times New Roman"/>
          <w:b/>
          <w:color w:val="auto"/>
        </w:rPr>
        <w:t>请仔细阅读说明书并按说明使用或在药师指导下购买和使用</w:t>
      </w:r>
    </w:p>
    <w:p w14:paraId="3F67E43C">
      <w:pPr>
        <w:spacing w:line="300" w:lineRule="exact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hint="default" w:ascii="Times New Roman" w:hAnsi="Times New Roman" w:cs="Times New Roman"/>
          <w:b/>
          <w:color w:val="auto"/>
        </w:rPr>
        <w:t>警告：孕妇禁用！</w:t>
      </w:r>
    </w:p>
    <w:p w14:paraId="150DC40B">
      <w:pPr>
        <w:spacing w:line="0" w:lineRule="atLeast"/>
        <w:rPr>
          <w:rFonts w:ascii="Times New Roman" w:hAnsi="Times New Roman" w:cs="Times New Roman"/>
          <w:color w:val="auto"/>
          <w:szCs w:val="21"/>
        </w:rPr>
      </w:pPr>
      <w:r>
        <w:rPr>
          <w:rFonts w:ascii="Times New Roman" w:hAnsi="Times New Roman" w:cs="Times New Roman"/>
          <w:color w:val="auto"/>
          <w:szCs w:val="21"/>
        </w:rPr>
        <w:t>[</w:t>
      </w:r>
      <w:r>
        <w:rPr>
          <w:rFonts w:hint="default" w:ascii="Times New Roman" w:hAnsi="Times New Roman" w:cs="Times New Roman"/>
          <w:color w:val="auto"/>
          <w:szCs w:val="21"/>
        </w:rPr>
        <w:t>药品名称</w:t>
      </w:r>
      <w:r>
        <w:rPr>
          <w:rFonts w:ascii="Times New Roman" w:hAnsi="Times New Roman" w:cs="Times New Roman"/>
          <w:color w:val="auto"/>
          <w:szCs w:val="21"/>
        </w:rPr>
        <w:t>]</w:t>
      </w:r>
    </w:p>
    <w:p w14:paraId="52D14D10">
      <w:pPr>
        <w:spacing w:line="280" w:lineRule="exact"/>
        <w:rPr>
          <w:rFonts w:ascii="Times New Roman" w:hAnsi="Times New Roman" w:cs="Times New Roman"/>
          <w:color w:val="auto"/>
          <w:szCs w:val="21"/>
        </w:rPr>
      </w:pPr>
      <w:r>
        <w:rPr>
          <w:rFonts w:hint="default" w:ascii="Times New Roman" w:hAnsi="Times New Roman" w:cs="Times New Roman"/>
          <w:color w:val="auto"/>
          <w:szCs w:val="21"/>
        </w:rPr>
        <w:t>通用名称：红花逍遥片</w:t>
      </w:r>
    </w:p>
    <w:p w14:paraId="1040299A">
      <w:pPr>
        <w:spacing w:line="280" w:lineRule="exact"/>
        <w:rPr>
          <w:rFonts w:ascii="Times New Roman" w:hAnsi="Times New Roman" w:cs="Times New Roman"/>
          <w:color w:val="auto"/>
          <w:szCs w:val="21"/>
        </w:rPr>
      </w:pPr>
      <w:r>
        <w:rPr>
          <w:rFonts w:hint="default" w:ascii="Times New Roman" w:hAnsi="Times New Roman" w:cs="Times New Roman"/>
          <w:color w:val="auto"/>
          <w:szCs w:val="21"/>
        </w:rPr>
        <w:t>汉语拼音：</w:t>
      </w:r>
    </w:p>
    <w:p w14:paraId="14EDEDF7">
      <w:pPr>
        <w:spacing w:line="0" w:lineRule="atLeast"/>
        <w:rPr>
          <w:rFonts w:ascii="Times New Roman" w:hAnsi="Times New Roman" w:cs="Times New Roman"/>
          <w:color w:val="auto"/>
          <w:szCs w:val="21"/>
        </w:rPr>
      </w:pPr>
      <w:r>
        <w:rPr>
          <w:rFonts w:ascii="Times New Roman" w:hAnsi="Times New Roman" w:cs="Times New Roman"/>
          <w:color w:val="auto"/>
          <w:szCs w:val="21"/>
        </w:rPr>
        <w:t>[</w:t>
      </w:r>
      <w:r>
        <w:rPr>
          <w:rFonts w:hint="default" w:ascii="Times New Roman" w:hAnsi="Times New Roman" w:cs="Times New Roman"/>
          <w:color w:val="auto"/>
          <w:szCs w:val="21"/>
        </w:rPr>
        <w:t>成份</w:t>
      </w:r>
      <w:r>
        <w:rPr>
          <w:rFonts w:ascii="Times New Roman" w:hAnsi="Times New Roman" w:cs="Times New Roman"/>
          <w:color w:val="auto"/>
          <w:szCs w:val="21"/>
        </w:rPr>
        <w:t>]</w:t>
      </w:r>
    </w:p>
    <w:p w14:paraId="579E037E">
      <w:pPr>
        <w:spacing w:line="280" w:lineRule="exact"/>
        <w:rPr>
          <w:rFonts w:ascii="Times New Roman" w:hAnsi="Times New Roman" w:cs="Times New Roman"/>
          <w:color w:val="auto"/>
          <w:szCs w:val="21"/>
        </w:rPr>
      </w:pPr>
      <w:r>
        <w:rPr>
          <w:rFonts w:ascii="Times New Roman" w:hAnsi="Times New Roman" w:cs="Times New Roman"/>
          <w:color w:val="auto"/>
          <w:szCs w:val="21"/>
        </w:rPr>
        <w:t>[</w:t>
      </w:r>
      <w:r>
        <w:rPr>
          <w:rFonts w:hint="default" w:ascii="Times New Roman" w:hAnsi="Times New Roman" w:cs="Times New Roman"/>
          <w:color w:val="auto"/>
          <w:szCs w:val="21"/>
        </w:rPr>
        <w:t>性状</w:t>
      </w:r>
      <w:r>
        <w:rPr>
          <w:rFonts w:ascii="Times New Roman" w:hAnsi="Times New Roman" w:cs="Times New Roman"/>
          <w:color w:val="auto"/>
          <w:szCs w:val="21"/>
        </w:rPr>
        <w:t>]</w:t>
      </w:r>
    </w:p>
    <w:p w14:paraId="4FB59F9B">
      <w:pPr>
        <w:spacing w:line="280" w:lineRule="exact"/>
        <w:rPr>
          <w:rFonts w:ascii="Times New Roman" w:hAnsi="Times New Roman" w:cs="Times New Roman"/>
          <w:color w:val="auto"/>
          <w:szCs w:val="21"/>
        </w:rPr>
      </w:pPr>
      <w:r>
        <w:rPr>
          <w:rFonts w:ascii="Times New Roman" w:hAnsi="Times New Roman" w:cs="Times New Roman"/>
          <w:color w:val="auto"/>
          <w:szCs w:val="21"/>
        </w:rPr>
        <w:t>[</w:t>
      </w:r>
      <w:r>
        <w:rPr>
          <w:rFonts w:hint="default" w:ascii="Times New Roman" w:hAnsi="Times New Roman" w:cs="Times New Roman"/>
          <w:color w:val="auto"/>
          <w:szCs w:val="21"/>
        </w:rPr>
        <w:t>功能主治</w:t>
      </w:r>
      <w:r>
        <w:rPr>
          <w:rFonts w:ascii="Times New Roman" w:hAnsi="Times New Roman" w:cs="Times New Roman"/>
          <w:color w:val="auto"/>
          <w:szCs w:val="21"/>
        </w:rPr>
        <w:t>]</w:t>
      </w:r>
      <w:r>
        <w:rPr>
          <w:rFonts w:hint="default" w:ascii="Times New Roman" w:hAnsi="Times New Roman" w:cs="Times New Roman"/>
          <w:color w:val="auto"/>
          <w:szCs w:val="21"/>
        </w:rPr>
        <w:t>舒肝、理气、活血。用于肝气不舒所致的胸胁胀痛，头晕目眩，食欲减退，月经不调，乳房胀痛或伴见颜面黄褐斑。</w:t>
      </w:r>
    </w:p>
    <w:p w14:paraId="0E8F30D6">
      <w:pPr>
        <w:spacing w:line="280" w:lineRule="exact"/>
        <w:rPr>
          <w:rFonts w:ascii="Times New Roman" w:hAnsi="Times New Roman" w:eastAsia="宋体" w:cs="Times New Roman"/>
          <w:color w:val="auto"/>
          <w:szCs w:val="21"/>
        </w:rPr>
      </w:pPr>
      <w:r>
        <w:rPr>
          <w:rFonts w:ascii="Times New Roman" w:hAnsi="Times New Roman" w:cs="Times New Roman"/>
          <w:color w:val="auto"/>
          <w:szCs w:val="21"/>
        </w:rPr>
        <w:t>[</w:t>
      </w:r>
      <w:r>
        <w:rPr>
          <w:rFonts w:hint="default" w:ascii="Times New Roman" w:hAnsi="Times New Roman" w:cs="Times New Roman"/>
          <w:color w:val="auto"/>
          <w:szCs w:val="21"/>
        </w:rPr>
        <w:t>规格</w:t>
      </w:r>
      <w:r>
        <w:rPr>
          <w:rFonts w:ascii="Times New Roman" w:hAnsi="Times New Roman" w:cs="Times New Roman"/>
          <w:color w:val="auto"/>
          <w:szCs w:val="21"/>
        </w:rPr>
        <w:t>]</w:t>
      </w:r>
      <w:r>
        <w:rPr>
          <w:rFonts w:hint="default" w:ascii="Times New Roman" w:hAnsi="Times New Roman" w:cs="Times New Roman"/>
          <w:color w:val="auto"/>
          <w:szCs w:val="21"/>
        </w:rPr>
        <w:t>每片重0.4克</w:t>
      </w:r>
    </w:p>
    <w:p w14:paraId="5F106E4D">
      <w:pPr>
        <w:spacing w:line="280" w:lineRule="exact"/>
        <w:rPr>
          <w:rFonts w:ascii="Times New Roman" w:hAnsi="Times New Roman" w:cs="Times New Roman"/>
          <w:color w:val="auto"/>
          <w:szCs w:val="21"/>
        </w:rPr>
      </w:pPr>
      <w:r>
        <w:rPr>
          <w:rFonts w:ascii="Times New Roman" w:hAnsi="Times New Roman" w:cs="Times New Roman"/>
          <w:color w:val="auto"/>
          <w:szCs w:val="21"/>
        </w:rPr>
        <w:t>[</w:t>
      </w:r>
      <w:r>
        <w:rPr>
          <w:rFonts w:hint="default" w:ascii="Times New Roman" w:hAnsi="Times New Roman" w:cs="Times New Roman"/>
          <w:color w:val="auto"/>
          <w:szCs w:val="21"/>
        </w:rPr>
        <w:t>用法用量</w:t>
      </w:r>
      <w:r>
        <w:rPr>
          <w:rFonts w:ascii="Times New Roman" w:hAnsi="Times New Roman" w:cs="Times New Roman"/>
          <w:color w:val="auto"/>
          <w:szCs w:val="21"/>
        </w:rPr>
        <w:t>]</w:t>
      </w:r>
      <w:r>
        <w:rPr>
          <w:rFonts w:hint="default" w:ascii="Times New Roman" w:hAnsi="Times New Roman" w:cs="Times New Roman"/>
          <w:color w:val="auto"/>
          <w:szCs w:val="21"/>
        </w:rPr>
        <w:t>口服，一次2~4片，一日3次。</w:t>
      </w:r>
    </w:p>
    <w:p w14:paraId="20F8AB1F">
      <w:pPr>
        <w:spacing w:line="280" w:lineRule="exact"/>
        <w:rPr>
          <w:rFonts w:ascii="Times New Roman" w:hAnsi="Times New Roman" w:cs="Times New Roman"/>
          <w:color w:val="auto"/>
          <w:szCs w:val="21"/>
        </w:rPr>
      </w:pPr>
      <w:r>
        <w:rPr>
          <w:rFonts w:ascii="Times New Roman" w:hAnsi="Times New Roman" w:cs="Times New Roman"/>
          <w:color w:val="auto"/>
          <w:szCs w:val="21"/>
        </w:rPr>
        <w:t>[</w:t>
      </w:r>
      <w:r>
        <w:rPr>
          <w:rFonts w:hint="default" w:ascii="Times New Roman" w:hAnsi="Times New Roman" w:cs="Times New Roman"/>
          <w:color w:val="auto"/>
          <w:szCs w:val="21"/>
        </w:rPr>
        <w:t>不良反应</w:t>
      </w:r>
      <w:r>
        <w:rPr>
          <w:rFonts w:ascii="Times New Roman" w:hAnsi="Times New Roman" w:cs="Times New Roman"/>
          <w:color w:val="auto"/>
          <w:szCs w:val="21"/>
        </w:rPr>
        <w:t>]</w:t>
      </w:r>
      <w:r>
        <w:rPr>
          <w:rFonts w:hint="default" w:ascii="Times New Roman" w:hAnsi="Times New Roman" w:cs="Times New Roman"/>
          <w:color w:val="auto"/>
          <w:szCs w:val="21"/>
        </w:rPr>
        <w:t>监测显示，本品可见以下不良反应报告：恶心、呕吐、腹痛、腹泻、腹胀、腹部不适、口干、便秘、皮疹、瘙痒、头晕、头痛、胸部不适、乏力、失眠、心悸等。</w:t>
      </w:r>
    </w:p>
    <w:p w14:paraId="29F0785A">
      <w:pPr>
        <w:spacing w:line="0" w:lineRule="atLeast"/>
        <w:rPr>
          <w:rFonts w:ascii="Times New Roman" w:hAnsi="Times New Roman" w:cs="Times New Roman"/>
          <w:b/>
          <w:bCs/>
          <w:color w:val="auto"/>
          <w:szCs w:val="21"/>
        </w:rPr>
      </w:pPr>
      <w:r>
        <w:rPr>
          <w:rFonts w:ascii="Times New Roman" w:hAnsi="Times New Roman" w:cs="Times New Roman"/>
          <w:b/>
          <w:bCs/>
          <w:color w:val="auto"/>
          <w:szCs w:val="21"/>
        </w:rPr>
        <w:t>[</w:t>
      </w:r>
      <w:r>
        <w:rPr>
          <w:rFonts w:hint="default" w:ascii="Times New Roman" w:hAnsi="Times New Roman" w:cs="Times New Roman"/>
          <w:b/>
          <w:bCs/>
          <w:color w:val="auto"/>
          <w:szCs w:val="21"/>
        </w:rPr>
        <w:t>禁忌</w:t>
      </w:r>
      <w:r>
        <w:rPr>
          <w:rFonts w:ascii="Times New Roman" w:hAnsi="Times New Roman" w:cs="Times New Roman"/>
          <w:b/>
          <w:bCs/>
          <w:color w:val="auto"/>
          <w:szCs w:val="21"/>
        </w:rPr>
        <w:t>]</w:t>
      </w:r>
    </w:p>
    <w:p w14:paraId="1C6DABA6">
      <w:pPr>
        <w:spacing w:line="0" w:lineRule="atLeast"/>
        <w:rPr>
          <w:rFonts w:ascii="Times New Roman" w:hAnsi="Times New Roman" w:cs="Times New Roman"/>
          <w:b/>
          <w:bCs/>
          <w:color w:val="auto"/>
          <w:szCs w:val="21"/>
        </w:rPr>
      </w:pPr>
      <w:r>
        <w:rPr>
          <w:rFonts w:hint="default" w:ascii="Times New Roman" w:hAnsi="Times New Roman" w:cs="Times New Roman"/>
          <w:b/>
          <w:bCs/>
          <w:color w:val="auto"/>
          <w:szCs w:val="21"/>
        </w:rPr>
        <w:t>1.孕妇禁用。</w:t>
      </w:r>
    </w:p>
    <w:p w14:paraId="7885EE81">
      <w:pPr>
        <w:spacing w:line="0" w:lineRule="atLeast"/>
        <w:rPr>
          <w:rFonts w:ascii="Times New Roman" w:hAnsi="Times New Roman" w:cs="Times New Roman"/>
          <w:b/>
          <w:bCs/>
          <w:color w:val="auto"/>
          <w:szCs w:val="21"/>
        </w:rPr>
      </w:pPr>
      <w:r>
        <w:rPr>
          <w:rFonts w:hint="default" w:ascii="Times New Roman" w:hAnsi="Times New Roman" w:cs="Times New Roman"/>
          <w:b/>
          <w:bCs/>
          <w:color w:val="auto"/>
          <w:szCs w:val="21"/>
        </w:rPr>
        <w:t>2.对本品及所含成份过敏者禁用。</w:t>
      </w:r>
    </w:p>
    <w:p w14:paraId="51AFDB0E">
      <w:pPr>
        <w:spacing w:line="0" w:lineRule="atLeast"/>
        <w:rPr>
          <w:rFonts w:ascii="Times New Roman" w:hAnsi="Times New Roman" w:cs="Times New Roman"/>
          <w:b/>
          <w:bCs/>
          <w:color w:val="auto"/>
          <w:szCs w:val="21"/>
        </w:rPr>
      </w:pPr>
      <w:r>
        <w:rPr>
          <w:rFonts w:ascii="Times New Roman" w:hAnsi="Times New Roman" w:cs="Times New Roman"/>
          <w:b/>
          <w:bCs/>
          <w:color w:val="auto"/>
          <w:szCs w:val="21"/>
        </w:rPr>
        <w:t>[</w:t>
      </w:r>
      <w:r>
        <w:rPr>
          <w:rFonts w:hint="default" w:ascii="Times New Roman" w:hAnsi="Times New Roman" w:cs="Times New Roman"/>
          <w:b/>
          <w:bCs/>
          <w:color w:val="auto"/>
          <w:szCs w:val="21"/>
        </w:rPr>
        <w:t>注意事项</w:t>
      </w:r>
      <w:r>
        <w:rPr>
          <w:rFonts w:ascii="Times New Roman" w:hAnsi="Times New Roman" w:cs="Times New Roman"/>
          <w:b/>
          <w:bCs/>
          <w:color w:val="auto"/>
          <w:szCs w:val="21"/>
        </w:rPr>
        <w:t>]</w:t>
      </w:r>
    </w:p>
    <w:p w14:paraId="538C099A">
      <w:pPr>
        <w:spacing w:line="0" w:lineRule="atLeast"/>
        <w:rPr>
          <w:rFonts w:ascii="Times New Roman" w:hAnsi="Times New Roman" w:cs="Times New Roman"/>
          <w:b/>
          <w:bCs/>
          <w:color w:val="auto"/>
          <w:szCs w:val="21"/>
        </w:rPr>
      </w:pPr>
      <w:r>
        <w:rPr>
          <w:rFonts w:hint="default" w:ascii="Times New Roman" w:hAnsi="Times New Roman" w:cs="Times New Roman"/>
          <w:b/>
          <w:bCs/>
          <w:color w:val="auto"/>
          <w:szCs w:val="21"/>
        </w:rPr>
        <w:t>1.服药期间忌食生冷及油腻难消化的食品。</w:t>
      </w:r>
    </w:p>
    <w:p w14:paraId="40C71E1B">
      <w:pPr>
        <w:spacing w:line="0" w:lineRule="atLeast"/>
        <w:rPr>
          <w:rFonts w:ascii="Times New Roman" w:hAnsi="Times New Roman" w:cs="Times New Roman"/>
          <w:b/>
          <w:bCs/>
          <w:color w:val="auto"/>
          <w:szCs w:val="21"/>
        </w:rPr>
      </w:pPr>
      <w:r>
        <w:rPr>
          <w:rFonts w:hint="default" w:ascii="Times New Roman" w:hAnsi="Times New Roman" w:cs="Times New Roman"/>
          <w:b/>
          <w:bCs/>
          <w:color w:val="auto"/>
          <w:szCs w:val="21"/>
        </w:rPr>
        <w:t>2.服药期间要保持情绪乐观，切忌生气恼怒。</w:t>
      </w:r>
    </w:p>
    <w:p w14:paraId="42467CD2">
      <w:pPr>
        <w:spacing w:line="0" w:lineRule="atLeast"/>
        <w:rPr>
          <w:rFonts w:ascii="Times New Roman" w:hAnsi="Times New Roman" w:cs="Times New Roman"/>
          <w:b/>
          <w:bCs/>
          <w:color w:val="auto"/>
          <w:szCs w:val="21"/>
        </w:rPr>
      </w:pPr>
      <w:r>
        <w:rPr>
          <w:rFonts w:hint="default" w:ascii="Times New Roman" w:hAnsi="Times New Roman" w:cs="Times New Roman"/>
          <w:b/>
          <w:bCs/>
          <w:color w:val="auto"/>
          <w:szCs w:val="21"/>
        </w:rPr>
        <w:t>3.肝肾阴虚，气滞不运所致的胸胁疼痛，胸腹胀满，咽喉干燥，舌无津液者慎用。</w:t>
      </w:r>
    </w:p>
    <w:p w14:paraId="379DF664">
      <w:pPr>
        <w:spacing w:line="0" w:lineRule="atLeast"/>
        <w:rPr>
          <w:rFonts w:ascii="Times New Roman" w:hAnsi="Times New Roman" w:cs="Times New Roman"/>
          <w:b/>
          <w:bCs/>
          <w:color w:val="auto"/>
          <w:szCs w:val="21"/>
        </w:rPr>
      </w:pPr>
      <w:r>
        <w:rPr>
          <w:rFonts w:hint="default" w:ascii="Times New Roman" w:hAnsi="Times New Roman" w:cs="Times New Roman"/>
          <w:b/>
          <w:bCs/>
          <w:color w:val="auto"/>
          <w:szCs w:val="21"/>
        </w:rPr>
        <w:t>4.火郁证者不适用，主要表现为面色红赤、心中烦热、胁胀不眠、大便秘结。</w:t>
      </w:r>
    </w:p>
    <w:p w14:paraId="0BAF8BAF">
      <w:pPr>
        <w:spacing w:line="0" w:lineRule="atLeast"/>
        <w:rPr>
          <w:rFonts w:ascii="Times New Roman" w:hAnsi="Times New Roman" w:cs="Times New Roman"/>
          <w:b/>
          <w:bCs/>
          <w:color w:val="auto"/>
          <w:szCs w:val="21"/>
        </w:rPr>
      </w:pPr>
      <w:r>
        <w:rPr>
          <w:rFonts w:ascii="Times New Roman" w:hAnsi="Times New Roman" w:cs="Times New Roman"/>
          <w:b/>
          <w:bCs/>
          <w:color w:val="auto"/>
          <w:szCs w:val="21"/>
        </w:rPr>
        <w:t>5</w:t>
      </w:r>
      <w:r>
        <w:rPr>
          <w:rFonts w:hint="default" w:ascii="Times New Roman" w:hAnsi="Times New Roman" w:cs="Times New Roman"/>
          <w:b/>
          <w:bCs/>
          <w:color w:val="auto"/>
          <w:szCs w:val="21"/>
        </w:rPr>
        <w:t>.高血压、心脏病、肝病、糖尿病、肾病等患者应在医师指导下服用。</w:t>
      </w:r>
    </w:p>
    <w:p w14:paraId="00C7BDFC">
      <w:pPr>
        <w:spacing w:line="0" w:lineRule="atLeast"/>
        <w:rPr>
          <w:rFonts w:ascii="Times New Roman" w:hAnsi="Times New Roman" w:cs="Times New Roman"/>
          <w:b/>
          <w:bCs/>
          <w:color w:val="auto"/>
          <w:szCs w:val="21"/>
        </w:rPr>
      </w:pPr>
      <w:r>
        <w:rPr>
          <w:rFonts w:ascii="Times New Roman" w:hAnsi="Times New Roman" w:cs="Times New Roman"/>
          <w:b/>
          <w:bCs/>
          <w:color w:val="auto"/>
          <w:szCs w:val="21"/>
        </w:rPr>
        <w:t>6</w:t>
      </w:r>
      <w:r>
        <w:rPr>
          <w:rFonts w:hint="default" w:ascii="Times New Roman" w:hAnsi="Times New Roman" w:cs="Times New Roman"/>
          <w:b/>
          <w:bCs/>
          <w:color w:val="auto"/>
          <w:szCs w:val="21"/>
        </w:rPr>
        <w:t>.平素月经正常，突然出现经量过多，或经期错后，或阴道不规则出血者应去医院就诊。</w:t>
      </w:r>
    </w:p>
    <w:p w14:paraId="4CD697AF">
      <w:pPr>
        <w:spacing w:line="0" w:lineRule="atLeast"/>
        <w:rPr>
          <w:rFonts w:ascii="Times New Roman" w:hAnsi="Times New Roman" w:cs="Times New Roman"/>
          <w:b/>
          <w:bCs/>
          <w:color w:val="auto"/>
          <w:szCs w:val="21"/>
        </w:rPr>
      </w:pPr>
      <w:r>
        <w:rPr>
          <w:rFonts w:ascii="Times New Roman" w:hAnsi="Times New Roman" w:cs="Times New Roman"/>
          <w:b/>
          <w:bCs/>
          <w:color w:val="auto"/>
          <w:szCs w:val="21"/>
        </w:rPr>
        <w:t>7</w:t>
      </w:r>
      <w:r>
        <w:rPr>
          <w:rFonts w:hint="default" w:ascii="Times New Roman" w:hAnsi="Times New Roman" w:cs="Times New Roman"/>
          <w:b/>
          <w:bCs/>
          <w:color w:val="auto"/>
          <w:szCs w:val="21"/>
        </w:rPr>
        <w:t>.器质性疾病所致胁痛者、头晕严重者应去医院就诊。</w:t>
      </w:r>
    </w:p>
    <w:p w14:paraId="05AA1AC5">
      <w:pPr>
        <w:spacing w:line="0" w:lineRule="atLeast"/>
        <w:rPr>
          <w:rFonts w:ascii="Times New Roman" w:hAnsi="Times New Roman" w:cs="Times New Roman"/>
          <w:b/>
          <w:bCs/>
          <w:color w:val="auto"/>
          <w:szCs w:val="21"/>
        </w:rPr>
      </w:pPr>
      <w:r>
        <w:rPr>
          <w:rFonts w:ascii="Times New Roman" w:hAnsi="Times New Roman" w:cs="Times New Roman"/>
          <w:b/>
          <w:bCs/>
          <w:color w:val="auto"/>
          <w:szCs w:val="21"/>
        </w:rPr>
        <w:t>8</w:t>
      </w:r>
      <w:r>
        <w:rPr>
          <w:rFonts w:hint="default" w:ascii="Times New Roman" w:hAnsi="Times New Roman" w:cs="Times New Roman"/>
          <w:b/>
          <w:bCs/>
          <w:color w:val="auto"/>
          <w:szCs w:val="21"/>
        </w:rPr>
        <w:t>.年老体弱者、哺乳期妇女、月经量多者应在医师指导下服用。</w:t>
      </w:r>
    </w:p>
    <w:p w14:paraId="2E34552A">
      <w:pPr>
        <w:spacing w:line="0" w:lineRule="atLeast"/>
        <w:rPr>
          <w:rFonts w:ascii="Times New Roman" w:hAnsi="Times New Roman" w:cs="Times New Roman"/>
          <w:b/>
          <w:bCs/>
          <w:color w:val="auto"/>
          <w:szCs w:val="21"/>
        </w:rPr>
      </w:pPr>
      <w:r>
        <w:rPr>
          <w:rFonts w:ascii="Times New Roman" w:hAnsi="Times New Roman" w:cs="Times New Roman"/>
          <w:b/>
          <w:bCs/>
          <w:color w:val="auto"/>
          <w:szCs w:val="21"/>
        </w:rPr>
        <w:t>9</w:t>
      </w:r>
      <w:r>
        <w:rPr>
          <w:rFonts w:hint="default" w:ascii="Times New Roman" w:hAnsi="Times New Roman" w:cs="Times New Roman"/>
          <w:b/>
          <w:bCs/>
          <w:color w:val="auto"/>
          <w:szCs w:val="21"/>
        </w:rPr>
        <w:t>.服药3天症状无缓解，应去医院就诊。</w:t>
      </w:r>
    </w:p>
    <w:p w14:paraId="3E9EC476">
      <w:pPr>
        <w:spacing w:line="0" w:lineRule="atLeast"/>
        <w:rPr>
          <w:rFonts w:ascii="Times New Roman" w:hAnsi="Times New Roman" w:cs="Times New Roman"/>
          <w:b/>
          <w:bCs/>
          <w:color w:val="auto"/>
          <w:szCs w:val="21"/>
        </w:rPr>
      </w:pPr>
      <w:r>
        <w:rPr>
          <w:rFonts w:ascii="Times New Roman" w:hAnsi="Times New Roman" w:cs="Times New Roman"/>
          <w:b/>
          <w:bCs/>
          <w:color w:val="auto"/>
          <w:szCs w:val="21"/>
        </w:rPr>
        <w:t>10</w:t>
      </w:r>
      <w:r>
        <w:rPr>
          <w:rFonts w:hint="default" w:ascii="Times New Roman" w:hAnsi="Times New Roman" w:cs="Times New Roman"/>
          <w:b/>
          <w:bCs/>
          <w:color w:val="auto"/>
          <w:szCs w:val="21"/>
        </w:rPr>
        <w:t>.本品含白芍、甘草，不宜与含藜芦、海藻、京大戟、红大戟、甘遂、芫花的方剂或成方制剂同时服用。</w:t>
      </w:r>
    </w:p>
    <w:p w14:paraId="75634E47">
      <w:pPr>
        <w:spacing w:line="0" w:lineRule="atLeast"/>
        <w:rPr>
          <w:rFonts w:ascii="Times New Roman" w:hAnsi="Times New Roman" w:cs="Times New Roman"/>
          <w:b/>
          <w:bCs/>
          <w:color w:val="auto"/>
          <w:szCs w:val="21"/>
        </w:rPr>
      </w:pPr>
      <w:r>
        <w:rPr>
          <w:rFonts w:ascii="Times New Roman" w:hAnsi="Times New Roman" w:cs="Times New Roman"/>
          <w:b/>
          <w:bCs/>
          <w:color w:val="auto"/>
          <w:szCs w:val="21"/>
        </w:rPr>
        <w:t>11</w:t>
      </w:r>
      <w:r>
        <w:rPr>
          <w:rFonts w:hint="default" w:ascii="Times New Roman" w:hAnsi="Times New Roman" w:cs="Times New Roman"/>
          <w:b/>
          <w:bCs/>
          <w:color w:val="auto"/>
          <w:szCs w:val="21"/>
        </w:rPr>
        <w:t>.过敏体质者慎用。</w:t>
      </w:r>
    </w:p>
    <w:p w14:paraId="7AAFAF78">
      <w:pPr>
        <w:spacing w:line="0" w:lineRule="atLeast"/>
        <w:rPr>
          <w:rFonts w:ascii="Times New Roman" w:hAnsi="Times New Roman" w:cs="Times New Roman"/>
          <w:b/>
          <w:bCs/>
          <w:color w:val="auto"/>
          <w:szCs w:val="21"/>
        </w:rPr>
      </w:pPr>
      <w:r>
        <w:rPr>
          <w:rFonts w:hint="default" w:ascii="Times New Roman" w:hAnsi="Times New Roman" w:cs="Times New Roman"/>
          <w:b/>
          <w:bCs/>
          <w:color w:val="auto"/>
          <w:szCs w:val="21"/>
        </w:rPr>
        <w:t>12.本品性状发生改变时禁止使用。</w:t>
      </w:r>
    </w:p>
    <w:p w14:paraId="489A089D">
      <w:pPr>
        <w:spacing w:line="0" w:lineRule="atLeast"/>
        <w:rPr>
          <w:rFonts w:ascii="Times New Roman" w:hAnsi="Times New Roman" w:cs="Times New Roman"/>
          <w:b/>
          <w:bCs/>
          <w:color w:val="auto"/>
          <w:szCs w:val="21"/>
        </w:rPr>
      </w:pPr>
      <w:r>
        <w:rPr>
          <w:rFonts w:hint="default" w:ascii="Times New Roman" w:hAnsi="Times New Roman" w:cs="Times New Roman"/>
          <w:b/>
          <w:bCs/>
          <w:color w:val="auto"/>
          <w:szCs w:val="21"/>
        </w:rPr>
        <w:t>13.请将本品放在儿童不能接触的地方。</w:t>
      </w:r>
    </w:p>
    <w:p w14:paraId="0138B371">
      <w:pPr>
        <w:spacing w:line="0" w:lineRule="atLeast"/>
        <w:rPr>
          <w:rFonts w:ascii="Times New Roman" w:hAnsi="Times New Roman" w:cs="Times New Roman"/>
          <w:b/>
          <w:bCs/>
          <w:color w:val="auto"/>
          <w:szCs w:val="21"/>
        </w:rPr>
      </w:pPr>
      <w:r>
        <w:rPr>
          <w:rFonts w:hint="default" w:ascii="Times New Roman" w:hAnsi="Times New Roman" w:cs="Times New Roman"/>
          <w:b/>
          <w:bCs/>
          <w:color w:val="auto"/>
          <w:szCs w:val="21"/>
        </w:rPr>
        <w:t>14.如正在使用其他药品，使用本品前请咨询医师或药师。</w:t>
      </w:r>
    </w:p>
    <w:p w14:paraId="5BC06454">
      <w:pPr>
        <w:spacing w:line="0" w:lineRule="atLeast"/>
        <w:rPr>
          <w:rFonts w:ascii="Times New Roman" w:hAnsi="Times New Roman" w:cs="Times New Roman"/>
          <w:color w:val="auto"/>
          <w:szCs w:val="21"/>
        </w:rPr>
      </w:pPr>
      <w:r>
        <w:rPr>
          <w:rFonts w:ascii="Times New Roman" w:hAnsi="Times New Roman" w:cs="Times New Roman"/>
          <w:color w:val="auto"/>
          <w:szCs w:val="21"/>
        </w:rPr>
        <w:t>[</w:t>
      </w:r>
      <w:r>
        <w:rPr>
          <w:rFonts w:hint="default" w:ascii="Times New Roman" w:hAnsi="Times New Roman" w:cs="Times New Roman"/>
          <w:color w:val="auto"/>
          <w:szCs w:val="21"/>
        </w:rPr>
        <w:t>药物相互作用]如与其他药物同时使用可能会发生药物相互作用，详情请咨询医师或药师。</w:t>
      </w:r>
    </w:p>
    <w:p w14:paraId="27D75DA4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[</w:t>
      </w:r>
      <w:r>
        <w:rPr>
          <w:rFonts w:hint="default" w:ascii="Times New Roman" w:hAnsi="Times New Roman" w:cs="Times New Roman"/>
          <w:color w:val="auto"/>
        </w:rPr>
        <w:t>贮藏</w:t>
      </w:r>
      <w:r>
        <w:rPr>
          <w:rFonts w:ascii="Times New Roman" w:hAnsi="Times New Roman" w:cs="Times New Roman"/>
          <w:color w:val="auto"/>
        </w:rPr>
        <w:t xml:space="preserve">] </w:t>
      </w:r>
      <w:r>
        <w:rPr>
          <w:rFonts w:ascii="Times New Roman" w:hAnsi="Times New Roman" w:cs="Times New Roman"/>
          <w:color w:val="auto"/>
        </w:rPr>
        <w:br w:type="textWrapping"/>
      </w:r>
      <w:r>
        <w:rPr>
          <w:rFonts w:ascii="Times New Roman" w:hAnsi="Times New Roman" w:cs="Times New Roman"/>
          <w:color w:val="auto"/>
        </w:rPr>
        <w:t>[</w:t>
      </w:r>
      <w:r>
        <w:rPr>
          <w:rFonts w:hint="default" w:ascii="Times New Roman" w:hAnsi="Times New Roman" w:cs="Times New Roman"/>
          <w:color w:val="auto"/>
        </w:rPr>
        <w:t>包装</w:t>
      </w:r>
      <w:r>
        <w:rPr>
          <w:rFonts w:ascii="Times New Roman" w:hAnsi="Times New Roman" w:cs="Times New Roman"/>
          <w:color w:val="auto"/>
        </w:rPr>
        <w:t>]</w:t>
      </w:r>
      <w:r>
        <w:rPr>
          <w:rFonts w:ascii="Times New Roman" w:hAnsi="Times New Roman" w:cs="Times New Roman"/>
          <w:color w:val="auto"/>
        </w:rPr>
        <w:br w:type="textWrapping"/>
      </w:r>
      <w:r>
        <w:rPr>
          <w:rFonts w:ascii="Times New Roman" w:hAnsi="Times New Roman" w:cs="Times New Roman"/>
          <w:color w:val="auto"/>
        </w:rPr>
        <w:t>[</w:t>
      </w:r>
      <w:r>
        <w:rPr>
          <w:rFonts w:hint="default" w:ascii="Times New Roman" w:hAnsi="Times New Roman" w:cs="Times New Roman"/>
          <w:color w:val="auto"/>
        </w:rPr>
        <w:t>有效期</w:t>
      </w:r>
      <w:r>
        <w:rPr>
          <w:rFonts w:ascii="Times New Roman" w:hAnsi="Times New Roman" w:cs="Times New Roman"/>
          <w:color w:val="auto"/>
        </w:rPr>
        <w:t>]</w:t>
      </w:r>
      <w:r>
        <w:rPr>
          <w:rFonts w:ascii="Times New Roman" w:hAnsi="Times New Roman" w:cs="Times New Roman"/>
          <w:color w:val="auto"/>
        </w:rPr>
        <w:br w:type="textWrapping"/>
      </w:r>
      <w:r>
        <w:rPr>
          <w:rFonts w:ascii="Times New Roman" w:hAnsi="Times New Roman" w:cs="Times New Roman"/>
          <w:color w:val="auto"/>
        </w:rPr>
        <w:t>[</w:t>
      </w:r>
      <w:r>
        <w:rPr>
          <w:rFonts w:hint="default" w:ascii="Times New Roman" w:hAnsi="Times New Roman" w:cs="Times New Roman"/>
          <w:color w:val="auto"/>
        </w:rPr>
        <w:t>执行标准</w:t>
      </w:r>
      <w:r>
        <w:rPr>
          <w:rFonts w:ascii="Times New Roman" w:hAnsi="Times New Roman" w:cs="Times New Roman"/>
          <w:color w:val="auto"/>
        </w:rPr>
        <w:t>]</w:t>
      </w:r>
      <w:r>
        <w:rPr>
          <w:rFonts w:ascii="Times New Roman" w:hAnsi="Times New Roman" w:cs="Times New Roman"/>
          <w:color w:val="auto"/>
        </w:rPr>
        <w:br w:type="textWrapping"/>
      </w:r>
      <w:r>
        <w:rPr>
          <w:rFonts w:ascii="Times New Roman" w:hAnsi="Times New Roman" w:cs="Times New Roman"/>
          <w:color w:val="auto"/>
        </w:rPr>
        <w:t>[</w:t>
      </w:r>
      <w:r>
        <w:rPr>
          <w:rFonts w:hint="default" w:ascii="Times New Roman" w:hAnsi="Times New Roman" w:cs="Times New Roman"/>
          <w:color w:val="auto"/>
        </w:rPr>
        <w:t>批准文号</w:t>
      </w:r>
      <w:r>
        <w:rPr>
          <w:rFonts w:ascii="Times New Roman" w:hAnsi="Times New Roman" w:cs="Times New Roman"/>
          <w:color w:val="auto"/>
        </w:rPr>
        <w:t>]</w:t>
      </w:r>
      <w:r>
        <w:rPr>
          <w:rFonts w:ascii="Times New Roman" w:hAnsi="Times New Roman" w:cs="Times New Roman"/>
          <w:color w:val="auto"/>
        </w:rPr>
        <w:br w:type="textWrapping"/>
      </w:r>
      <w:r>
        <w:rPr>
          <w:rFonts w:ascii="Times New Roman" w:hAnsi="Times New Roman" w:cs="Times New Roman"/>
          <w:color w:val="auto"/>
        </w:rPr>
        <w:t>[</w:t>
      </w:r>
      <w:r>
        <w:rPr>
          <w:rFonts w:hint="default" w:ascii="Times New Roman" w:hAnsi="Times New Roman" w:cs="Times New Roman"/>
          <w:color w:val="auto"/>
        </w:rPr>
        <w:t>说明书修订日期</w:t>
      </w:r>
      <w:r>
        <w:rPr>
          <w:rFonts w:ascii="Times New Roman" w:hAnsi="Times New Roman" w:cs="Times New Roman"/>
          <w:color w:val="auto"/>
        </w:rPr>
        <w:t>]</w:t>
      </w:r>
      <w:r>
        <w:rPr>
          <w:rFonts w:ascii="Times New Roman" w:hAnsi="Times New Roman" w:cs="Times New Roman"/>
          <w:color w:val="auto"/>
        </w:rPr>
        <w:br w:type="textWrapping"/>
      </w:r>
      <w:r>
        <w:rPr>
          <w:rFonts w:ascii="Times New Roman" w:hAnsi="Times New Roman" w:cs="Times New Roman"/>
          <w:color w:val="auto"/>
        </w:rPr>
        <w:t>[</w:t>
      </w:r>
      <w:r>
        <w:rPr>
          <w:rFonts w:hint="default" w:ascii="Times New Roman" w:hAnsi="Times New Roman" w:cs="Times New Roman"/>
          <w:color w:val="auto"/>
        </w:rPr>
        <w:t>药品上市许可持有人</w:t>
      </w:r>
      <w:r>
        <w:rPr>
          <w:rFonts w:ascii="Times New Roman" w:hAnsi="Times New Roman" w:cs="Times New Roman"/>
          <w:color w:val="auto"/>
        </w:rPr>
        <w:t>]</w:t>
      </w:r>
    </w:p>
    <w:p w14:paraId="23AF7BD6">
      <w:pPr>
        <w:rPr>
          <w:rFonts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名</w:t>
      </w:r>
      <w:r>
        <w:rPr>
          <w:rFonts w:ascii="Times New Roman" w:hAnsi="Times New Roman" w:cs="Times New Roman"/>
          <w:color w:val="auto"/>
        </w:rPr>
        <w:t xml:space="preserve">    </w:t>
      </w:r>
      <w:r>
        <w:rPr>
          <w:rFonts w:hint="default" w:ascii="Times New Roman" w:hAnsi="Times New Roman" w:cs="Times New Roman"/>
          <w:color w:val="auto"/>
        </w:rPr>
        <w:t>称：</w:t>
      </w:r>
      <w:r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br w:type="textWrapping"/>
      </w:r>
      <w:r>
        <w:rPr>
          <w:rFonts w:hint="default" w:ascii="Times New Roman" w:hAnsi="Times New Roman" w:cs="Times New Roman"/>
          <w:color w:val="auto"/>
        </w:rPr>
        <w:t>注册地址：</w:t>
      </w:r>
      <w:r>
        <w:rPr>
          <w:rFonts w:ascii="Times New Roman" w:hAnsi="Times New Roman" w:cs="Times New Roman"/>
          <w:color w:val="auto"/>
        </w:rPr>
        <w:br w:type="textWrapping"/>
      </w:r>
      <w:r>
        <w:rPr>
          <w:rFonts w:hint="default" w:ascii="Times New Roman" w:hAnsi="Times New Roman" w:cs="Times New Roman"/>
          <w:color w:val="auto"/>
        </w:rPr>
        <w:t>邮政编码：</w:t>
      </w:r>
      <w:r>
        <w:rPr>
          <w:rFonts w:ascii="Times New Roman" w:hAnsi="Times New Roman" w:cs="Times New Roman"/>
          <w:color w:val="auto"/>
        </w:rPr>
        <w:br w:type="textWrapping"/>
      </w:r>
      <w:r>
        <w:rPr>
          <w:rFonts w:hint="default" w:ascii="Times New Roman" w:hAnsi="Times New Roman" w:cs="Times New Roman"/>
          <w:color w:val="auto"/>
        </w:rPr>
        <w:t>电话号码：</w:t>
      </w:r>
      <w:r>
        <w:rPr>
          <w:rFonts w:ascii="Times New Roman" w:hAnsi="Times New Roman" w:cs="Times New Roman"/>
          <w:color w:val="auto"/>
        </w:rPr>
        <w:br w:type="textWrapping"/>
      </w:r>
      <w:r>
        <w:rPr>
          <w:rFonts w:hint="default" w:ascii="Times New Roman" w:hAnsi="Times New Roman" w:cs="Times New Roman"/>
          <w:color w:val="auto"/>
        </w:rPr>
        <w:t>传真号码：</w:t>
      </w:r>
      <w:r>
        <w:rPr>
          <w:rFonts w:ascii="Times New Roman" w:hAnsi="Times New Roman" w:cs="Times New Roman"/>
          <w:color w:val="auto"/>
        </w:rPr>
        <w:br w:type="textWrapping"/>
      </w:r>
      <w:r>
        <w:rPr>
          <w:rFonts w:hint="default" w:ascii="Times New Roman" w:hAnsi="Times New Roman" w:cs="Times New Roman"/>
          <w:color w:val="auto"/>
        </w:rPr>
        <w:t>网</w:t>
      </w:r>
      <w:r>
        <w:rPr>
          <w:rFonts w:ascii="Times New Roman" w:hAnsi="Times New Roman" w:cs="Times New Roman"/>
          <w:color w:val="auto"/>
        </w:rPr>
        <w:t xml:space="preserve">    </w:t>
      </w:r>
      <w:r>
        <w:rPr>
          <w:rFonts w:hint="default" w:ascii="Times New Roman" w:hAnsi="Times New Roman" w:cs="Times New Roman"/>
          <w:color w:val="auto"/>
        </w:rPr>
        <w:t>址：</w:t>
      </w:r>
    </w:p>
    <w:p w14:paraId="016421A5">
      <w:pPr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color w:val="auto"/>
        </w:rPr>
        <w:t>[</w:t>
      </w:r>
      <w:r>
        <w:rPr>
          <w:rFonts w:hint="default" w:ascii="Times New Roman" w:hAnsi="Times New Roman" w:cs="Times New Roman"/>
          <w:color w:val="auto"/>
        </w:rPr>
        <w:t>生产企业</w:t>
      </w:r>
      <w:r>
        <w:rPr>
          <w:rFonts w:ascii="Times New Roman" w:hAnsi="Times New Roman" w:cs="Times New Roman"/>
          <w:color w:val="auto"/>
        </w:rPr>
        <w:t>]</w:t>
      </w:r>
      <w:r>
        <w:rPr>
          <w:rFonts w:ascii="Times New Roman" w:hAnsi="Times New Roman" w:cs="Times New Roman"/>
          <w:color w:val="auto"/>
        </w:rPr>
        <w:br w:type="textWrapping"/>
      </w:r>
      <w:r>
        <w:rPr>
          <w:rFonts w:hint="default" w:ascii="Times New Roman" w:hAnsi="Times New Roman" w:cs="Times New Roman"/>
          <w:color w:val="auto"/>
        </w:rPr>
        <w:t>企业名称：</w:t>
      </w:r>
      <w:r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br w:type="textWrapping"/>
      </w:r>
      <w:r>
        <w:rPr>
          <w:rFonts w:hint="default" w:ascii="Times New Roman" w:hAnsi="Times New Roman" w:cs="Times New Roman"/>
          <w:color w:val="auto"/>
        </w:rPr>
        <w:t>生产地址：</w:t>
      </w:r>
      <w:r>
        <w:rPr>
          <w:rFonts w:ascii="Times New Roman" w:hAnsi="Times New Roman" w:cs="Times New Roman"/>
          <w:color w:val="auto"/>
        </w:rPr>
        <w:br w:type="textWrapping"/>
      </w:r>
      <w:r>
        <w:rPr>
          <w:rFonts w:hint="default" w:ascii="Times New Roman" w:hAnsi="Times New Roman" w:cs="Times New Roman"/>
          <w:b/>
          <w:bCs/>
          <w:color w:val="auto"/>
        </w:rPr>
        <w:t>如有问题可与药品上市许可持有人联系。</w:t>
      </w:r>
    </w:p>
    <w:p w14:paraId="495ACC9F">
      <w:pPr>
        <w:rPr>
          <w:rFonts w:ascii="Times New Roman" w:hAnsi="Times New Roman" w:cs="Times New Roman"/>
          <w:b/>
          <w:bCs/>
          <w:color w:val="auto"/>
        </w:rPr>
      </w:pPr>
    </w:p>
    <w:p w14:paraId="1A2990A3">
      <w:pPr>
        <w:rPr>
          <w:rFonts w:ascii="Times New Roman" w:hAnsi="Times New Roman" w:cs="Times New Roman"/>
          <w:b/>
          <w:bCs/>
          <w:color w:val="auto"/>
        </w:rPr>
      </w:pPr>
      <w:r>
        <w:rPr>
          <w:rFonts w:hint="default" w:ascii="Times New Roman" w:hAnsi="Times New Roman" w:cs="Times New Roman"/>
          <w:color w:val="auto"/>
          <w:szCs w:val="21"/>
        </w:rPr>
        <w:t>（注：本说明书范本原则上不得删减，如原批准说明书的安全性内容较本范本内容更全面或者更严格的，应保留原批准内容。）</w:t>
      </w:r>
    </w:p>
    <w:p w14:paraId="7CA280F7">
      <w:pPr>
        <w:rPr>
          <w:rFonts w:ascii="Times New Roman" w:hAnsi="Times New Roman" w:cs="Times New Roman"/>
          <w:color w:val="auto"/>
        </w:rPr>
      </w:pPr>
    </w:p>
    <w:p w14:paraId="373340A9">
      <w:pPr>
        <w:keepNext/>
        <w:keepLines/>
        <w:spacing w:before="260" w:after="260" w:line="408" w:lineRule="auto"/>
        <w:jc w:val="center"/>
        <w:outlineLvl w:val="1"/>
        <w:rPr>
          <w:rFonts w:ascii="Times New Roman" w:hAnsi="Times New Roman" w:cs="Times New Roman"/>
          <w:b/>
          <w:color w:val="auto"/>
          <w:sz w:val="30"/>
          <w:szCs w:val="20"/>
        </w:rPr>
      </w:pPr>
      <w:r>
        <w:rPr>
          <w:rFonts w:hint="default" w:ascii="Times New Roman" w:hAnsi="Times New Roman" w:cs="Times New Roman"/>
          <w:b/>
          <w:color w:val="auto"/>
          <w:sz w:val="30"/>
          <w:szCs w:val="20"/>
        </w:rPr>
        <w:br w:type="page"/>
      </w:r>
      <w:r>
        <w:rPr>
          <w:rFonts w:hint="default" w:ascii="Times New Roman" w:hAnsi="Times New Roman" w:cs="Times New Roman"/>
          <w:b/>
          <w:color w:val="auto"/>
          <w:sz w:val="30"/>
          <w:szCs w:val="20"/>
        </w:rPr>
        <w:t>痔特佳胶囊说明书</w:t>
      </w:r>
    </w:p>
    <w:p w14:paraId="0C4C182D">
      <w:pPr>
        <w:spacing w:line="0" w:lineRule="atLeast"/>
        <w:jc w:val="center"/>
        <w:rPr>
          <w:rFonts w:ascii="Times New Roman" w:hAnsi="Times New Roman" w:cs="Times New Roman"/>
          <w:b/>
          <w:color w:val="auto"/>
          <w:szCs w:val="21"/>
        </w:rPr>
      </w:pPr>
      <w:r>
        <w:rPr>
          <w:rFonts w:hint="default" w:ascii="Times New Roman" w:hAnsi="Times New Roman" w:cs="Times New Roman"/>
          <w:b/>
          <w:color w:val="auto"/>
          <w:szCs w:val="21"/>
        </w:rPr>
        <w:t>请仔细阅读说明书并按说明使用或在药师指导下购买和使用</w:t>
      </w:r>
    </w:p>
    <w:p w14:paraId="6E608F73">
      <w:pPr>
        <w:spacing w:line="0" w:lineRule="atLeast"/>
        <w:rPr>
          <w:rFonts w:ascii="Times New Roman" w:hAnsi="Times New Roman" w:cs="Times New Roman"/>
          <w:color w:val="auto"/>
          <w:szCs w:val="21"/>
        </w:rPr>
      </w:pPr>
      <w:r>
        <w:rPr>
          <w:rFonts w:ascii="Times New Roman" w:hAnsi="Times New Roman" w:cs="Times New Roman"/>
          <w:color w:val="auto"/>
          <w:szCs w:val="21"/>
        </w:rPr>
        <w:t>[</w:t>
      </w:r>
      <w:r>
        <w:rPr>
          <w:rFonts w:hint="default" w:ascii="Times New Roman" w:hAnsi="Times New Roman" w:cs="Times New Roman"/>
          <w:color w:val="auto"/>
          <w:szCs w:val="21"/>
        </w:rPr>
        <w:t>药品名称</w:t>
      </w:r>
      <w:r>
        <w:rPr>
          <w:rFonts w:ascii="Times New Roman" w:hAnsi="Times New Roman" w:cs="Times New Roman"/>
          <w:color w:val="auto"/>
          <w:szCs w:val="21"/>
        </w:rPr>
        <w:t>]</w:t>
      </w:r>
    </w:p>
    <w:p w14:paraId="7EC70644">
      <w:pPr>
        <w:spacing w:line="0" w:lineRule="atLeast"/>
        <w:rPr>
          <w:rFonts w:ascii="Times New Roman" w:hAnsi="Times New Roman" w:cs="Times New Roman"/>
          <w:color w:val="auto"/>
          <w:szCs w:val="21"/>
        </w:rPr>
      </w:pPr>
      <w:r>
        <w:rPr>
          <w:rFonts w:hint="default" w:ascii="Times New Roman" w:hAnsi="Times New Roman" w:cs="Times New Roman"/>
          <w:color w:val="auto"/>
          <w:szCs w:val="21"/>
        </w:rPr>
        <w:t>通用名称：痔特佳胶囊</w:t>
      </w:r>
    </w:p>
    <w:p w14:paraId="6641DAFB">
      <w:pPr>
        <w:spacing w:line="0" w:lineRule="atLeast"/>
        <w:rPr>
          <w:rFonts w:ascii="Times New Roman" w:hAnsi="Times New Roman" w:cs="Times New Roman"/>
          <w:color w:val="auto"/>
          <w:szCs w:val="21"/>
        </w:rPr>
      </w:pPr>
      <w:r>
        <w:rPr>
          <w:rFonts w:hint="default" w:ascii="Times New Roman" w:hAnsi="Times New Roman" w:cs="Times New Roman"/>
          <w:color w:val="auto"/>
          <w:szCs w:val="21"/>
        </w:rPr>
        <w:t>汉语拼音：</w:t>
      </w:r>
    </w:p>
    <w:p w14:paraId="13AF357E">
      <w:pPr>
        <w:spacing w:line="0" w:lineRule="atLeast"/>
        <w:rPr>
          <w:rFonts w:ascii="Times New Roman" w:hAnsi="Times New Roman" w:cs="Times New Roman"/>
          <w:color w:val="auto"/>
          <w:szCs w:val="21"/>
        </w:rPr>
      </w:pPr>
      <w:r>
        <w:rPr>
          <w:rFonts w:ascii="Times New Roman" w:hAnsi="Times New Roman" w:cs="Times New Roman"/>
          <w:color w:val="auto"/>
          <w:szCs w:val="21"/>
        </w:rPr>
        <w:t>[</w:t>
      </w:r>
      <w:r>
        <w:rPr>
          <w:rFonts w:hint="default" w:ascii="Times New Roman" w:hAnsi="Times New Roman" w:cs="Times New Roman"/>
          <w:color w:val="auto"/>
          <w:szCs w:val="21"/>
        </w:rPr>
        <w:t>成份</w:t>
      </w:r>
      <w:r>
        <w:rPr>
          <w:rFonts w:ascii="Times New Roman" w:hAnsi="Times New Roman" w:cs="Times New Roman"/>
          <w:color w:val="auto"/>
          <w:szCs w:val="21"/>
        </w:rPr>
        <w:t>]</w:t>
      </w:r>
    </w:p>
    <w:p w14:paraId="7A8726C4">
      <w:pPr>
        <w:spacing w:line="0" w:lineRule="atLeast"/>
        <w:rPr>
          <w:rFonts w:ascii="Times New Roman" w:hAnsi="Times New Roman" w:cs="Times New Roman"/>
          <w:color w:val="auto"/>
          <w:szCs w:val="21"/>
        </w:rPr>
      </w:pPr>
      <w:r>
        <w:rPr>
          <w:rFonts w:ascii="Times New Roman" w:hAnsi="Times New Roman" w:cs="Times New Roman"/>
          <w:color w:val="auto"/>
          <w:szCs w:val="21"/>
        </w:rPr>
        <w:t>[</w:t>
      </w:r>
      <w:r>
        <w:rPr>
          <w:rFonts w:hint="default" w:ascii="Times New Roman" w:hAnsi="Times New Roman" w:cs="Times New Roman"/>
          <w:color w:val="auto"/>
          <w:szCs w:val="21"/>
        </w:rPr>
        <w:t>性状</w:t>
      </w:r>
      <w:r>
        <w:rPr>
          <w:rFonts w:ascii="Times New Roman" w:hAnsi="Times New Roman" w:cs="Times New Roman"/>
          <w:color w:val="auto"/>
          <w:szCs w:val="21"/>
        </w:rPr>
        <w:t>]</w:t>
      </w:r>
    </w:p>
    <w:p w14:paraId="7831B54C">
      <w:pPr>
        <w:spacing w:line="0" w:lineRule="atLeast"/>
        <w:rPr>
          <w:rFonts w:ascii="Times New Roman" w:hAnsi="Times New Roman" w:cs="Times New Roman"/>
          <w:color w:val="auto"/>
          <w:szCs w:val="21"/>
        </w:rPr>
      </w:pPr>
      <w:r>
        <w:rPr>
          <w:rFonts w:ascii="Times New Roman" w:hAnsi="Times New Roman" w:cs="Times New Roman"/>
          <w:color w:val="auto"/>
          <w:szCs w:val="21"/>
        </w:rPr>
        <w:t>[</w:t>
      </w:r>
      <w:r>
        <w:rPr>
          <w:rFonts w:hint="default" w:ascii="Times New Roman" w:hAnsi="Times New Roman" w:cs="Times New Roman"/>
          <w:color w:val="auto"/>
          <w:szCs w:val="21"/>
        </w:rPr>
        <w:t>功能主治</w:t>
      </w:r>
      <w:r>
        <w:rPr>
          <w:rFonts w:ascii="Times New Roman" w:hAnsi="Times New Roman" w:cs="Times New Roman"/>
          <w:color w:val="auto"/>
          <w:szCs w:val="21"/>
        </w:rPr>
        <w:t>]</w:t>
      </w:r>
      <w:r>
        <w:rPr>
          <w:rFonts w:hint="default" w:ascii="Times New Roman" w:hAnsi="Times New Roman" w:cs="Times New Roman"/>
          <w:color w:val="auto"/>
          <w:szCs w:val="21"/>
        </w:rPr>
        <w:t>清热消肿，凉血止血。用于轻度内、外痔。</w:t>
      </w:r>
    </w:p>
    <w:p w14:paraId="7E28E95A">
      <w:pPr>
        <w:spacing w:line="0" w:lineRule="atLeast"/>
        <w:rPr>
          <w:rFonts w:ascii="Times New Roman" w:hAnsi="Times New Roman" w:cs="Times New Roman"/>
          <w:color w:val="auto"/>
          <w:szCs w:val="21"/>
        </w:rPr>
      </w:pPr>
      <w:r>
        <w:rPr>
          <w:rFonts w:ascii="Times New Roman" w:hAnsi="Times New Roman" w:cs="Times New Roman"/>
          <w:color w:val="auto"/>
          <w:szCs w:val="21"/>
        </w:rPr>
        <w:t>[</w:t>
      </w:r>
      <w:r>
        <w:rPr>
          <w:rFonts w:hint="default" w:ascii="Times New Roman" w:hAnsi="Times New Roman" w:cs="Times New Roman"/>
          <w:color w:val="auto"/>
          <w:szCs w:val="21"/>
        </w:rPr>
        <w:t>规格</w:t>
      </w:r>
      <w:r>
        <w:rPr>
          <w:rFonts w:ascii="Times New Roman" w:hAnsi="Times New Roman" w:cs="Times New Roman"/>
          <w:color w:val="auto"/>
          <w:szCs w:val="21"/>
        </w:rPr>
        <w:t>]</w:t>
      </w:r>
      <w:r>
        <w:rPr>
          <w:rFonts w:hint="default" w:ascii="Times New Roman" w:hAnsi="Times New Roman" w:cs="Times New Roman"/>
          <w:color w:val="auto"/>
          <w:szCs w:val="21"/>
        </w:rPr>
        <w:t>每粒装0.4克</w:t>
      </w:r>
    </w:p>
    <w:p w14:paraId="16FEF8C6">
      <w:pPr>
        <w:spacing w:line="0" w:lineRule="atLeast"/>
        <w:rPr>
          <w:rFonts w:ascii="Times New Roman" w:hAnsi="Times New Roman" w:cs="Times New Roman"/>
          <w:color w:val="auto"/>
          <w:szCs w:val="21"/>
        </w:rPr>
      </w:pPr>
      <w:r>
        <w:rPr>
          <w:rFonts w:ascii="Times New Roman" w:hAnsi="Times New Roman" w:cs="Times New Roman"/>
          <w:color w:val="auto"/>
          <w:szCs w:val="21"/>
        </w:rPr>
        <w:t>[</w:t>
      </w:r>
      <w:r>
        <w:rPr>
          <w:rFonts w:hint="default" w:ascii="Times New Roman" w:hAnsi="Times New Roman" w:cs="Times New Roman"/>
          <w:color w:val="auto"/>
          <w:szCs w:val="21"/>
        </w:rPr>
        <w:t>用法用量</w:t>
      </w:r>
      <w:r>
        <w:rPr>
          <w:rFonts w:ascii="Times New Roman" w:hAnsi="Times New Roman" w:cs="Times New Roman"/>
          <w:color w:val="auto"/>
          <w:szCs w:val="21"/>
        </w:rPr>
        <w:t>]</w:t>
      </w:r>
      <w:r>
        <w:rPr>
          <w:rFonts w:hint="default" w:ascii="Times New Roman" w:hAnsi="Times New Roman" w:cs="Times New Roman"/>
          <w:color w:val="auto"/>
          <w:szCs w:val="21"/>
        </w:rPr>
        <w:t>口服。一次2～4粒，一日2次。</w:t>
      </w:r>
    </w:p>
    <w:p w14:paraId="77954AAA">
      <w:pPr>
        <w:spacing w:line="0" w:lineRule="atLeast"/>
        <w:rPr>
          <w:rFonts w:ascii="Times New Roman" w:hAnsi="Times New Roman" w:cs="Times New Roman"/>
          <w:color w:val="auto"/>
          <w:szCs w:val="21"/>
        </w:rPr>
      </w:pPr>
      <w:r>
        <w:rPr>
          <w:rFonts w:ascii="Times New Roman" w:hAnsi="Times New Roman" w:cs="Times New Roman"/>
          <w:color w:val="auto"/>
          <w:szCs w:val="21"/>
        </w:rPr>
        <w:t>[</w:t>
      </w:r>
      <w:r>
        <w:rPr>
          <w:rFonts w:hint="default" w:ascii="Times New Roman" w:hAnsi="Times New Roman" w:cs="Times New Roman"/>
          <w:color w:val="auto"/>
          <w:szCs w:val="21"/>
        </w:rPr>
        <w:t>不良反应</w:t>
      </w:r>
      <w:r>
        <w:rPr>
          <w:rFonts w:ascii="Times New Roman" w:hAnsi="Times New Roman" w:cs="Times New Roman"/>
          <w:color w:val="auto"/>
          <w:szCs w:val="21"/>
        </w:rPr>
        <w:t>]</w:t>
      </w:r>
      <w:r>
        <w:rPr>
          <w:rFonts w:hint="default" w:ascii="Times New Roman" w:hAnsi="Times New Roman" w:cs="Times New Roman"/>
          <w:color w:val="auto"/>
          <w:szCs w:val="21"/>
        </w:rPr>
        <w:t>监测数据显示，本品可见以下不良反应报告：恶心、呕吐、腹泻、腹部不适、腹痛、皮疹、瘙痒、头痛等。</w:t>
      </w:r>
    </w:p>
    <w:p w14:paraId="25D95409">
      <w:pPr>
        <w:spacing w:line="0" w:lineRule="atLeast"/>
        <w:rPr>
          <w:rFonts w:ascii="Times New Roman" w:hAnsi="Times New Roman" w:cs="Times New Roman"/>
          <w:b/>
          <w:color w:val="auto"/>
          <w:szCs w:val="21"/>
        </w:rPr>
      </w:pPr>
      <w:r>
        <w:rPr>
          <w:rFonts w:ascii="Times New Roman" w:hAnsi="Times New Roman" w:cs="Times New Roman"/>
          <w:b/>
          <w:color w:val="auto"/>
          <w:szCs w:val="21"/>
        </w:rPr>
        <w:t>[</w:t>
      </w:r>
      <w:r>
        <w:rPr>
          <w:rFonts w:hint="default" w:ascii="Times New Roman" w:hAnsi="Times New Roman" w:cs="Times New Roman"/>
          <w:b/>
          <w:color w:val="auto"/>
          <w:szCs w:val="21"/>
        </w:rPr>
        <w:t>禁忌</w:t>
      </w:r>
      <w:r>
        <w:rPr>
          <w:rFonts w:ascii="Times New Roman" w:hAnsi="Times New Roman" w:cs="Times New Roman"/>
          <w:b/>
          <w:color w:val="auto"/>
          <w:szCs w:val="21"/>
        </w:rPr>
        <w:t>]</w:t>
      </w:r>
      <w:r>
        <w:rPr>
          <w:rFonts w:hint="default" w:ascii="Times New Roman" w:hAnsi="Times New Roman" w:cs="Times New Roman"/>
          <w:b/>
          <w:color w:val="auto"/>
          <w:szCs w:val="21"/>
        </w:rPr>
        <w:t>对本品及所含成份过敏者禁用。</w:t>
      </w:r>
    </w:p>
    <w:p w14:paraId="0D89E5EB">
      <w:pPr>
        <w:spacing w:line="0" w:lineRule="atLeast"/>
        <w:rPr>
          <w:rFonts w:ascii="Times New Roman" w:hAnsi="Times New Roman" w:cs="Times New Roman"/>
          <w:b/>
          <w:color w:val="auto"/>
          <w:szCs w:val="21"/>
        </w:rPr>
      </w:pPr>
      <w:r>
        <w:rPr>
          <w:rFonts w:ascii="Times New Roman" w:hAnsi="Times New Roman" w:cs="Times New Roman"/>
          <w:b/>
          <w:color w:val="auto"/>
          <w:szCs w:val="21"/>
        </w:rPr>
        <w:t>[</w:t>
      </w:r>
      <w:r>
        <w:rPr>
          <w:rFonts w:hint="default" w:ascii="Times New Roman" w:hAnsi="Times New Roman" w:cs="Times New Roman"/>
          <w:b/>
          <w:color w:val="auto"/>
          <w:szCs w:val="21"/>
        </w:rPr>
        <w:t>注意事项</w:t>
      </w:r>
      <w:r>
        <w:rPr>
          <w:rFonts w:ascii="Times New Roman" w:hAnsi="Times New Roman" w:cs="Times New Roman"/>
          <w:b/>
          <w:color w:val="auto"/>
          <w:szCs w:val="21"/>
        </w:rPr>
        <w:t>]</w:t>
      </w:r>
    </w:p>
    <w:p w14:paraId="6E264DD1">
      <w:pPr>
        <w:spacing w:line="0" w:lineRule="atLeast"/>
        <w:rPr>
          <w:rFonts w:ascii="Times New Roman" w:hAnsi="Times New Roman" w:cs="Times New Roman"/>
          <w:b/>
          <w:color w:val="auto"/>
          <w:szCs w:val="21"/>
        </w:rPr>
      </w:pPr>
      <w:r>
        <w:rPr>
          <w:rFonts w:hint="default" w:ascii="Times New Roman" w:hAnsi="Times New Roman" w:cs="Times New Roman"/>
          <w:b/>
          <w:color w:val="auto"/>
          <w:szCs w:val="21"/>
        </w:rPr>
        <w:t>1.忌烟酒、忌食辛辣、油腻及刺激性食物。</w:t>
      </w:r>
    </w:p>
    <w:p w14:paraId="6578CF35">
      <w:pPr>
        <w:spacing w:line="0" w:lineRule="atLeast"/>
        <w:rPr>
          <w:rFonts w:ascii="Times New Roman" w:hAnsi="Times New Roman" w:cs="Times New Roman"/>
          <w:b/>
          <w:color w:val="auto"/>
          <w:szCs w:val="21"/>
        </w:rPr>
      </w:pPr>
      <w:r>
        <w:rPr>
          <w:rFonts w:hint="default" w:ascii="Times New Roman" w:hAnsi="Times New Roman" w:cs="Times New Roman"/>
          <w:b/>
          <w:color w:val="auto"/>
          <w:szCs w:val="21"/>
        </w:rPr>
        <w:t>2.用药期间不宜同时服用温热性药物，不宜与铁剂同时服用。</w:t>
      </w:r>
    </w:p>
    <w:p w14:paraId="12423083">
      <w:pPr>
        <w:spacing w:line="0" w:lineRule="atLeast"/>
        <w:rPr>
          <w:rFonts w:ascii="Times New Roman" w:hAnsi="Times New Roman" w:cs="Times New Roman"/>
          <w:b/>
          <w:color w:val="auto"/>
          <w:szCs w:val="21"/>
        </w:rPr>
      </w:pPr>
      <w:r>
        <w:rPr>
          <w:rFonts w:hint="default" w:ascii="Times New Roman" w:hAnsi="Times New Roman" w:cs="Times New Roman"/>
          <w:b/>
          <w:color w:val="auto"/>
          <w:szCs w:val="21"/>
        </w:rPr>
        <w:t>3</w:t>
      </w:r>
      <w:r>
        <w:rPr>
          <w:rFonts w:ascii="Times New Roman" w:hAnsi="Times New Roman" w:cs="Times New Roman"/>
          <w:b/>
          <w:color w:val="auto"/>
          <w:szCs w:val="21"/>
        </w:rPr>
        <w:t>.</w:t>
      </w:r>
      <w:r>
        <w:rPr>
          <w:rFonts w:hint="default" w:ascii="Times New Roman" w:hAnsi="Times New Roman" w:cs="Times New Roman"/>
          <w:b/>
          <w:color w:val="auto"/>
          <w:szCs w:val="21"/>
        </w:rPr>
        <w:t>脾胃虚寒、脾虚大便溏者慎用。</w:t>
      </w:r>
    </w:p>
    <w:p w14:paraId="656B0A45">
      <w:pPr>
        <w:spacing w:line="0" w:lineRule="atLeast"/>
        <w:rPr>
          <w:rFonts w:ascii="Times New Roman" w:hAnsi="Times New Roman" w:cs="Times New Roman"/>
          <w:b/>
          <w:color w:val="auto"/>
          <w:szCs w:val="21"/>
        </w:rPr>
      </w:pPr>
      <w:r>
        <w:rPr>
          <w:rFonts w:ascii="Times New Roman" w:hAnsi="Times New Roman" w:cs="Times New Roman"/>
          <w:b/>
          <w:color w:val="auto"/>
          <w:szCs w:val="21"/>
        </w:rPr>
        <w:t>4</w:t>
      </w:r>
      <w:r>
        <w:rPr>
          <w:rFonts w:hint="default" w:ascii="Times New Roman" w:hAnsi="Times New Roman" w:cs="Times New Roman"/>
          <w:b/>
          <w:color w:val="auto"/>
          <w:szCs w:val="21"/>
        </w:rPr>
        <w:t>.孕妇、肝病患者慎用，如确需服用，应在医师指导下服用。</w:t>
      </w:r>
    </w:p>
    <w:p w14:paraId="17AB5B32">
      <w:pPr>
        <w:spacing w:line="0" w:lineRule="atLeast"/>
        <w:rPr>
          <w:rFonts w:ascii="Times New Roman" w:hAnsi="Times New Roman" w:cs="Times New Roman"/>
          <w:b/>
          <w:color w:val="auto"/>
          <w:szCs w:val="21"/>
        </w:rPr>
      </w:pPr>
      <w:r>
        <w:rPr>
          <w:rFonts w:hint="default" w:ascii="Times New Roman" w:hAnsi="Times New Roman" w:cs="Times New Roman"/>
          <w:b/>
          <w:color w:val="auto"/>
          <w:szCs w:val="21"/>
        </w:rPr>
        <w:t>5</w:t>
      </w:r>
      <w:r>
        <w:rPr>
          <w:rFonts w:ascii="Times New Roman" w:hAnsi="Times New Roman" w:cs="Times New Roman"/>
          <w:b/>
          <w:color w:val="auto"/>
          <w:szCs w:val="21"/>
        </w:rPr>
        <w:t>.</w:t>
      </w:r>
      <w:r>
        <w:rPr>
          <w:rFonts w:hint="default" w:ascii="Times New Roman" w:hAnsi="Times New Roman" w:cs="Times New Roman"/>
          <w:b/>
          <w:color w:val="auto"/>
          <w:szCs w:val="21"/>
        </w:rPr>
        <w:t>年老体弱者应在医师指导下服用。</w:t>
      </w:r>
    </w:p>
    <w:p w14:paraId="175E9AD9">
      <w:pPr>
        <w:spacing w:line="0" w:lineRule="atLeast"/>
        <w:rPr>
          <w:rFonts w:ascii="Times New Roman" w:hAnsi="Times New Roman" w:cs="Times New Roman"/>
          <w:b/>
          <w:color w:val="auto"/>
          <w:szCs w:val="21"/>
        </w:rPr>
      </w:pPr>
      <w:r>
        <w:rPr>
          <w:rFonts w:ascii="Times New Roman" w:hAnsi="Times New Roman" w:cs="Times New Roman"/>
          <w:b/>
          <w:color w:val="auto"/>
          <w:szCs w:val="21"/>
        </w:rPr>
        <w:t>6</w:t>
      </w:r>
      <w:r>
        <w:rPr>
          <w:rFonts w:hint="default" w:ascii="Times New Roman" w:hAnsi="Times New Roman" w:cs="Times New Roman"/>
          <w:b/>
          <w:color w:val="auto"/>
          <w:szCs w:val="21"/>
        </w:rPr>
        <w:t>.高血压、心脏病、糖尿病、肾病等患者应在医师指导下服用。</w:t>
      </w:r>
    </w:p>
    <w:p w14:paraId="7B02DA4E">
      <w:pPr>
        <w:spacing w:line="0" w:lineRule="atLeast"/>
        <w:rPr>
          <w:rFonts w:ascii="Times New Roman" w:hAnsi="Times New Roman" w:cs="Times New Roman"/>
          <w:b/>
          <w:color w:val="auto"/>
          <w:szCs w:val="21"/>
        </w:rPr>
      </w:pPr>
      <w:r>
        <w:rPr>
          <w:rFonts w:ascii="Times New Roman" w:hAnsi="Times New Roman" w:cs="Times New Roman"/>
          <w:b/>
          <w:color w:val="auto"/>
          <w:szCs w:val="21"/>
        </w:rPr>
        <w:t>7</w:t>
      </w:r>
      <w:r>
        <w:rPr>
          <w:rFonts w:hint="default" w:ascii="Times New Roman" w:hAnsi="Times New Roman" w:cs="Times New Roman"/>
          <w:b/>
          <w:color w:val="auto"/>
          <w:szCs w:val="21"/>
        </w:rPr>
        <w:t>.内痔出血过多或原因不明的便血应去医院就诊。</w:t>
      </w:r>
    </w:p>
    <w:p w14:paraId="1F0040C9">
      <w:pPr>
        <w:spacing w:line="0" w:lineRule="atLeast"/>
        <w:rPr>
          <w:rFonts w:ascii="Times New Roman" w:hAnsi="Times New Roman" w:cs="Times New Roman"/>
          <w:b/>
          <w:color w:val="auto"/>
          <w:szCs w:val="21"/>
        </w:rPr>
      </w:pPr>
      <w:r>
        <w:rPr>
          <w:rFonts w:ascii="Times New Roman" w:hAnsi="Times New Roman" w:cs="Times New Roman"/>
          <w:b/>
          <w:color w:val="auto"/>
          <w:szCs w:val="21"/>
        </w:rPr>
        <w:t>8</w:t>
      </w:r>
      <w:r>
        <w:rPr>
          <w:rFonts w:hint="default" w:ascii="Times New Roman" w:hAnsi="Times New Roman" w:cs="Times New Roman"/>
          <w:b/>
          <w:color w:val="auto"/>
          <w:szCs w:val="21"/>
        </w:rPr>
        <w:t>.服药3天症状无缓解，或症状加重，或出现新的严重症状，应停药并去医院就诊。</w:t>
      </w:r>
    </w:p>
    <w:p w14:paraId="0BC311AD">
      <w:pPr>
        <w:spacing w:line="0" w:lineRule="atLeast"/>
        <w:rPr>
          <w:rFonts w:ascii="Times New Roman" w:hAnsi="Times New Roman" w:cs="Times New Roman"/>
          <w:b/>
          <w:color w:val="auto"/>
          <w:szCs w:val="21"/>
        </w:rPr>
      </w:pPr>
      <w:r>
        <w:rPr>
          <w:rFonts w:ascii="Times New Roman" w:hAnsi="Times New Roman" w:cs="Times New Roman"/>
          <w:b/>
          <w:color w:val="auto"/>
          <w:szCs w:val="21"/>
        </w:rPr>
        <w:t>9</w:t>
      </w:r>
      <w:r>
        <w:rPr>
          <w:rFonts w:hint="default" w:ascii="Times New Roman" w:hAnsi="Times New Roman" w:cs="Times New Roman"/>
          <w:b/>
          <w:color w:val="auto"/>
          <w:szCs w:val="21"/>
        </w:rPr>
        <w:t>.按照用法用量服用，本品不宜长期或超量服用。</w:t>
      </w:r>
    </w:p>
    <w:p w14:paraId="43E0DFB4">
      <w:pPr>
        <w:spacing w:line="0" w:lineRule="atLeast"/>
        <w:rPr>
          <w:rFonts w:ascii="Times New Roman" w:hAnsi="Times New Roman" w:cs="Times New Roman"/>
          <w:b/>
          <w:color w:val="auto"/>
          <w:szCs w:val="21"/>
        </w:rPr>
      </w:pPr>
      <w:r>
        <w:rPr>
          <w:rFonts w:hint="default" w:ascii="Times New Roman" w:hAnsi="Times New Roman" w:cs="Times New Roman"/>
          <w:b/>
          <w:color w:val="auto"/>
          <w:szCs w:val="21"/>
        </w:rPr>
        <w:t>1</w:t>
      </w:r>
      <w:r>
        <w:rPr>
          <w:rFonts w:ascii="Times New Roman" w:hAnsi="Times New Roman" w:cs="Times New Roman"/>
          <w:b/>
          <w:color w:val="auto"/>
          <w:szCs w:val="21"/>
        </w:rPr>
        <w:t>0.</w:t>
      </w:r>
      <w:r>
        <w:rPr>
          <w:rFonts w:hint="default" w:ascii="Times New Roman" w:hAnsi="Times New Roman" w:cs="Times New Roman"/>
          <w:b/>
          <w:color w:val="auto"/>
          <w:szCs w:val="21"/>
        </w:rPr>
        <w:t>过敏体质者慎用。</w:t>
      </w:r>
    </w:p>
    <w:p w14:paraId="4458A27B">
      <w:pPr>
        <w:spacing w:line="0" w:lineRule="atLeast"/>
        <w:rPr>
          <w:rFonts w:ascii="Times New Roman" w:hAnsi="Times New Roman" w:cs="Times New Roman"/>
          <w:b/>
          <w:color w:val="auto"/>
          <w:szCs w:val="21"/>
        </w:rPr>
      </w:pPr>
      <w:r>
        <w:rPr>
          <w:rFonts w:ascii="Times New Roman" w:hAnsi="Times New Roman" w:cs="Times New Roman"/>
          <w:b/>
          <w:color w:val="auto"/>
          <w:szCs w:val="21"/>
        </w:rPr>
        <w:t>11</w:t>
      </w:r>
      <w:r>
        <w:rPr>
          <w:rFonts w:hint="default" w:ascii="Times New Roman" w:hAnsi="Times New Roman" w:cs="Times New Roman"/>
          <w:b/>
          <w:color w:val="auto"/>
          <w:szCs w:val="21"/>
        </w:rPr>
        <w:t>.本品性状发生改变时禁止使用。</w:t>
      </w:r>
    </w:p>
    <w:p w14:paraId="7902D7AC">
      <w:pPr>
        <w:spacing w:line="0" w:lineRule="atLeast"/>
        <w:rPr>
          <w:rFonts w:ascii="Times New Roman" w:hAnsi="Times New Roman" w:cs="Times New Roman"/>
          <w:b/>
          <w:color w:val="auto"/>
          <w:szCs w:val="21"/>
        </w:rPr>
      </w:pPr>
      <w:r>
        <w:rPr>
          <w:rFonts w:hint="default" w:ascii="Times New Roman" w:hAnsi="Times New Roman" w:cs="Times New Roman"/>
          <w:b/>
          <w:color w:val="auto"/>
          <w:szCs w:val="21"/>
        </w:rPr>
        <w:t>1</w:t>
      </w:r>
      <w:r>
        <w:rPr>
          <w:rFonts w:ascii="Times New Roman" w:hAnsi="Times New Roman" w:cs="Times New Roman"/>
          <w:b/>
          <w:color w:val="auto"/>
          <w:szCs w:val="21"/>
        </w:rPr>
        <w:t>2</w:t>
      </w:r>
      <w:r>
        <w:rPr>
          <w:rFonts w:hint="default" w:ascii="Times New Roman" w:hAnsi="Times New Roman" w:cs="Times New Roman"/>
          <w:b/>
          <w:color w:val="auto"/>
          <w:szCs w:val="21"/>
        </w:rPr>
        <w:t>.请将本品放在儿童不能接触的地方。</w:t>
      </w:r>
    </w:p>
    <w:p w14:paraId="40D9291A">
      <w:pPr>
        <w:spacing w:line="0" w:lineRule="atLeast"/>
        <w:rPr>
          <w:rFonts w:ascii="Times New Roman" w:hAnsi="Times New Roman" w:cs="Times New Roman"/>
          <w:b/>
          <w:color w:val="auto"/>
          <w:szCs w:val="21"/>
        </w:rPr>
      </w:pPr>
      <w:r>
        <w:rPr>
          <w:rFonts w:hint="default" w:ascii="Times New Roman" w:hAnsi="Times New Roman" w:cs="Times New Roman"/>
          <w:b/>
          <w:color w:val="auto"/>
          <w:szCs w:val="21"/>
        </w:rPr>
        <w:t>1</w:t>
      </w:r>
      <w:r>
        <w:rPr>
          <w:rFonts w:ascii="Times New Roman" w:hAnsi="Times New Roman" w:cs="Times New Roman"/>
          <w:b/>
          <w:color w:val="auto"/>
          <w:szCs w:val="21"/>
        </w:rPr>
        <w:t>3</w:t>
      </w:r>
      <w:r>
        <w:rPr>
          <w:rFonts w:hint="default" w:ascii="Times New Roman" w:hAnsi="Times New Roman" w:cs="Times New Roman"/>
          <w:b/>
          <w:color w:val="auto"/>
          <w:szCs w:val="21"/>
        </w:rPr>
        <w:t>.如正在使用其他药品，使用本品前请咨询医师或者药师。</w:t>
      </w:r>
    </w:p>
    <w:p w14:paraId="67AE7A1A">
      <w:pPr>
        <w:spacing w:line="0" w:lineRule="atLeast"/>
        <w:rPr>
          <w:rFonts w:ascii="Times New Roman" w:hAnsi="Times New Roman" w:cs="Times New Roman"/>
          <w:color w:val="auto"/>
          <w:szCs w:val="21"/>
        </w:rPr>
      </w:pPr>
      <w:r>
        <w:rPr>
          <w:rFonts w:ascii="Times New Roman" w:hAnsi="Times New Roman" w:cs="Times New Roman"/>
          <w:color w:val="auto"/>
          <w:szCs w:val="21"/>
        </w:rPr>
        <w:t>[药物相互作用]如与其他药物同时使用可能会发生药物相互作用，详情请咨询医师或药师</w:t>
      </w:r>
      <w:r>
        <w:rPr>
          <w:rFonts w:hint="default" w:ascii="Times New Roman" w:hAnsi="Times New Roman" w:cs="Times New Roman"/>
          <w:color w:val="auto"/>
          <w:szCs w:val="21"/>
        </w:rPr>
        <w:t>。</w:t>
      </w:r>
    </w:p>
    <w:p w14:paraId="3F351723">
      <w:pPr>
        <w:spacing w:line="0" w:lineRule="atLeast"/>
        <w:rPr>
          <w:rFonts w:ascii="Times New Roman" w:hAnsi="Times New Roman" w:cs="Times New Roman"/>
          <w:color w:val="auto"/>
          <w:szCs w:val="21"/>
        </w:rPr>
      </w:pPr>
      <w:r>
        <w:rPr>
          <w:rFonts w:ascii="Times New Roman" w:hAnsi="Times New Roman" w:cs="Times New Roman"/>
          <w:color w:val="auto"/>
          <w:szCs w:val="21"/>
        </w:rPr>
        <w:t>[</w:t>
      </w:r>
      <w:r>
        <w:rPr>
          <w:rFonts w:hint="default" w:ascii="Times New Roman" w:hAnsi="Times New Roman" w:cs="Times New Roman"/>
          <w:color w:val="auto"/>
          <w:szCs w:val="21"/>
        </w:rPr>
        <w:t>贮藏</w:t>
      </w:r>
      <w:r>
        <w:rPr>
          <w:rFonts w:ascii="Times New Roman" w:hAnsi="Times New Roman" w:cs="Times New Roman"/>
          <w:color w:val="auto"/>
          <w:szCs w:val="21"/>
        </w:rPr>
        <w:t xml:space="preserve">] </w:t>
      </w:r>
      <w:r>
        <w:rPr>
          <w:rFonts w:ascii="Times New Roman" w:hAnsi="Times New Roman" w:cs="Times New Roman"/>
          <w:color w:val="auto"/>
          <w:szCs w:val="21"/>
        </w:rPr>
        <w:br w:type="textWrapping"/>
      </w:r>
      <w:r>
        <w:rPr>
          <w:rFonts w:ascii="Times New Roman" w:hAnsi="Times New Roman" w:cs="Times New Roman"/>
          <w:color w:val="auto"/>
          <w:szCs w:val="21"/>
        </w:rPr>
        <w:t>[</w:t>
      </w:r>
      <w:r>
        <w:rPr>
          <w:rFonts w:hint="default" w:ascii="Times New Roman" w:hAnsi="Times New Roman" w:cs="Times New Roman"/>
          <w:color w:val="auto"/>
          <w:szCs w:val="21"/>
        </w:rPr>
        <w:t>包装</w:t>
      </w:r>
      <w:r>
        <w:rPr>
          <w:rFonts w:ascii="Times New Roman" w:hAnsi="Times New Roman" w:cs="Times New Roman"/>
          <w:color w:val="auto"/>
          <w:szCs w:val="21"/>
        </w:rPr>
        <w:t>]</w:t>
      </w:r>
      <w:r>
        <w:rPr>
          <w:rFonts w:ascii="Times New Roman" w:hAnsi="Times New Roman" w:cs="Times New Roman"/>
          <w:color w:val="auto"/>
          <w:szCs w:val="21"/>
        </w:rPr>
        <w:br w:type="textWrapping"/>
      </w:r>
      <w:r>
        <w:rPr>
          <w:rFonts w:ascii="Times New Roman" w:hAnsi="Times New Roman" w:cs="Times New Roman"/>
          <w:color w:val="auto"/>
          <w:szCs w:val="21"/>
        </w:rPr>
        <w:t>[</w:t>
      </w:r>
      <w:r>
        <w:rPr>
          <w:rFonts w:hint="default" w:ascii="Times New Roman" w:hAnsi="Times New Roman" w:cs="Times New Roman"/>
          <w:color w:val="auto"/>
          <w:szCs w:val="21"/>
        </w:rPr>
        <w:t>有效期</w:t>
      </w:r>
      <w:r>
        <w:rPr>
          <w:rFonts w:ascii="Times New Roman" w:hAnsi="Times New Roman" w:cs="Times New Roman"/>
          <w:color w:val="auto"/>
          <w:szCs w:val="21"/>
        </w:rPr>
        <w:t>]</w:t>
      </w:r>
      <w:r>
        <w:rPr>
          <w:rFonts w:ascii="Times New Roman" w:hAnsi="Times New Roman" w:cs="Times New Roman"/>
          <w:color w:val="auto"/>
          <w:szCs w:val="21"/>
        </w:rPr>
        <w:br w:type="textWrapping"/>
      </w:r>
      <w:r>
        <w:rPr>
          <w:rFonts w:ascii="Times New Roman" w:hAnsi="Times New Roman" w:cs="Times New Roman"/>
          <w:color w:val="auto"/>
          <w:szCs w:val="21"/>
        </w:rPr>
        <w:t>[</w:t>
      </w:r>
      <w:r>
        <w:rPr>
          <w:rFonts w:hint="default" w:ascii="Times New Roman" w:hAnsi="Times New Roman" w:cs="Times New Roman"/>
          <w:color w:val="auto"/>
          <w:szCs w:val="21"/>
        </w:rPr>
        <w:t>执行标准</w:t>
      </w:r>
      <w:r>
        <w:rPr>
          <w:rFonts w:ascii="Times New Roman" w:hAnsi="Times New Roman" w:cs="Times New Roman"/>
          <w:color w:val="auto"/>
          <w:szCs w:val="21"/>
        </w:rPr>
        <w:t>]</w:t>
      </w:r>
      <w:r>
        <w:rPr>
          <w:rFonts w:ascii="Times New Roman" w:hAnsi="Times New Roman" w:cs="Times New Roman"/>
          <w:color w:val="auto"/>
          <w:szCs w:val="21"/>
        </w:rPr>
        <w:br w:type="textWrapping"/>
      </w:r>
      <w:r>
        <w:rPr>
          <w:rFonts w:ascii="Times New Roman" w:hAnsi="Times New Roman" w:cs="Times New Roman"/>
          <w:color w:val="auto"/>
          <w:szCs w:val="21"/>
        </w:rPr>
        <w:t>[</w:t>
      </w:r>
      <w:r>
        <w:rPr>
          <w:rFonts w:hint="default" w:ascii="Times New Roman" w:hAnsi="Times New Roman" w:cs="Times New Roman"/>
          <w:color w:val="auto"/>
          <w:szCs w:val="21"/>
        </w:rPr>
        <w:t>批准文号</w:t>
      </w:r>
      <w:r>
        <w:rPr>
          <w:rFonts w:ascii="Times New Roman" w:hAnsi="Times New Roman" w:cs="Times New Roman"/>
          <w:color w:val="auto"/>
          <w:szCs w:val="21"/>
        </w:rPr>
        <w:t>]</w:t>
      </w:r>
      <w:r>
        <w:rPr>
          <w:rFonts w:ascii="Times New Roman" w:hAnsi="Times New Roman" w:cs="Times New Roman"/>
          <w:color w:val="auto"/>
          <w:szCs w:val="21"/>
        </w:rPr>
        <w:br w:type="textWrapping"/>
      </w:r>
      <w:r>
        <w:rPr>
          <w:rFonts w:ascii="Times New Roman" w:hAnsi="Times New Roman" w:cs="Times New Roman"/>
          <w:color w:val="auto"/>
          <w:szCs w:val="21"/>
        </w:rPr>
        <w:t>[</w:t>
      </w:r>
      <w:r>
        <w:rPr>
          <w:rFonts w:hint="default" w:ascii="Times New Roman" w:hAnsi="Times New Roman" w:cs="Times New Roman"/>
          <w:color w:val="auto"/>
          <w:szCs w:val="21"/>
        </w:rPr>
        <w:t>说明书修订日期</w:t>
      </w:r>
      <w:r>
        <w:rPr>
          <w:rFonts w:ascii="Times New Roman" w:hAnsi="Times New Roman" w:cs="Times New Roman"/>
          <w:color w:val="auto"/>
          <w:szCs w:val="21"/>
        </w:rPr>
        <w:t>]</w:t>
      </w:r>
      <w:r>
        <w:rPr>
          <w:rFonts w:ascii="Times New Roman" w:hAnsi="Times New Roman" w:cs="Times New Roman"/>
          <w:color w:val="auto"/>
          <w:szCs w:val="21"/>
        </w:rPr>
        <w:br w:type="textWrapping"/>
      </w:r>
      <w:r>
        <w:rPr>
          <w:rFonts w:ascii="Times New Roman" w:hAnsi="Times New Roman" w:cs="Times New Roman"/>
          <w:color w:val="auto"/>
          <w:szCs w:val="21"/>
        </w:rPr>
        <w:t>[</w:t>
      </w:r>
      <w:r>
        <w:rPr>
          <w:rFonts w:hint="default" w:ascii="Times New Roman" w:hAnsi="Times New Roman" w:cs="Times New Roman"/>
          <w:color w:val="auto"/>
          <w:szCs w:val="21"/>
        </w:rPr>
        <w:t>药品上市许可持有人</w:t>
      </w:r>
      <w:r>
        <w:rPr>
          <w:rFonts w:ascii="Times New Roman" w:hAnsi="Times New Roman" w:cs="Times New Roman"/>
          <w:color w:val="auto"/>
          <w:szCs w:val="21"/>
        </w:rPr>
        <w:t>]</w:t>
      </w:r>
    </w:p>
    <w:p w14:paraId="069F6577">
      <w:pPr>
        <w:spacing w:line="0" w:lineRule="atLeast"/>
        <w:rPr>
          <w:rFonts w:ascii="Times New Roman" w:hAnsi="Times New Roman" w:cs="Times New Roman"/>
          <w:b/>
          <w:color w:val="auto"/>
          <w:szCs w:val="21"/>
        </w:rPr>
      </w:pPr>
      <w:r>
        <w:rPr>
          <w:rFonts w:hint="default" w:ascii="Times New Roman" w:hAnsi="Times New Roman" w:cs="Times New Roman"/>
          <w:color w:val="auto"/>
          <w:szCs w:val="21"/>
        </w:rPr>
        <w:t>名</w:t>
      </w:r>
      <w:r>
        <w:rPr>
          <w:rFonts w:ascii="Times New Roman" w:hAnsi="Times New Roman" w:cs="Times New Roman"/>
          <w:color w:val="auto"/>
          <w:szCs w:val="21"/>
        </w:rPr>
        <w:t xml:space="preserve">   </w:t>
      </w:r>
      <w:r>
        <w:rPr>
          <w:rFonts w:hint="default" w:ascii="Times New Roman" w:hAnsi="Times New Roman" w:cs="Times New Roman"/>
          <w:color w:val="auto"/>
          <w:szCs w:val="21"/>
        </w:rPr>
        <w:t>称：</w:t>
      </w:r>
      <w:r>
        <w:rPr>
          <w:rFonts w:ascii="Times New Roman" w:hAnsi="Times New Roman" w:cs="Times New Roman"/>
          <w:color w:val="auto"/>
          <w:szCs w:val="21"/>
        </w:rPr>
        <w:t xml:space="preserve"> </w:t>
      </w:r>
      <w:r>
        <w:rPr>
          <w:rFonts w:ascii="Times New Roman" w:hAnsi="Times New Roman" w:cs="Times New Roman"/>
          <w:color w:val="auto"/>
          <w:szCs w:val="21"/>
        </w:rPr>
        <w:br w:type="textWrapping"/>
      </w:r>
      <w:r>
        <w:rPr>
          <w:rFonts w:hint="default" w:ascii="Times New Roman" w:hAnsi="Times New Roman" w:cs="Times New Roman"/>
          <w:b/>
          <w:color w:val="auto"/>
          <w:szCs w:val="21"/>
        </w:rPr>
        <w:t>如有问题可与药品上市许可持有人联系。</w:t>
      </w:r>
    </w:p>
    <w:p w14:paraId="019EF3CD">
      <w:pPr>
        <w:spacing w:line="0" w:lineRule="atLeast"/>
        <w:rPr>
          <w:rFonts w:ascii="Times New Roman" w:hAnsi="Times New Roman" w:cs="Times New Roman"/>
          <w:color w:val="auto"/>
          <w:szCs w:val="21"/>
        </w:rPr>
      </w:pPr>
    </w:p>
    <w:p w14:paraId="19C4C3CC">
      <w:pPr>
        <w:spacing w:line="0" w:lineRule="atLeast"/>
        <w:rPr>
          <w:rFonts w:ascii="Times New Roman" w:hAnsi="Times New Roman" w:cs="Times New Roman"/>
          <w:color w:val="auto"/>
          <w:szCs w:val="21"/>
        </w:rPr>
      </w:pPr>
    </w:p>
    <w:p w14:paraId="2D569DE0">
      <w:pPr>
        <w:spacing w:line="0" w:lineRule="atLeast"/>
        <w:rPr>
          <w:rFonts w:ascii="Times New Roman" w:hAnsi="Times New Roman" w:cs="Times New Roman"/>
          <w:color w:val="auto"/>
          <w:szCs w:val="21"/>
        </w:rPr>
      </w:pPr>
      <w:r>
        <w:rPr>
          <w:rFonts w:hint="default" w:ascii="Times New Roman" w:hAnsi="Times New Roman" w:cs="Times New Roman"/>
          <w:color w:val="auto"/>
          <w:szCs w:val="21"/>
        </w:rPr>
        <w:t>（注：本说明书范本原则上不得删除，如原批准说明书的安全性内容较本范本内容更全面或</w:t>
      </w:r>
    </w:p>
    <w:p w14:paraId="5CBE50BA">
      <w:pPr>
        <w:spacing w:line="0" w:lineRule="atLeast"/>
        <w:rPr>
          <w:rFonts w:ascii="Times New Roman" w:hAnsi="Times New Roman" w:cs="Times New Roman"/>
          <w:color w:val="auto"/>
          <w:szCs w:val="21"/>
        </w:rPr>
      </w:pPr>
      <w:r>
        <w:rPr>
          <w:rFonts w:hint="default" w:ascii="Times New Roman" w:hAnsi="Times New Roman" w:cs="Times New Roman"/>
          <w:color w:val="auto"/>
          <w:szCs w:val="21"/>
        </w:rPr>
        <w:t>者更严格的，应保留原批准内容。）</w:t>
      </w:r>
    </w:p>
    <w:p w14:paraId="2FC54F49">
      <w:pPr>
        <w:spacing w:line="500" w:lineRule="exact"/>
        <w:rPr>
          <w:rFonts w:ascii="Times New Roman" w:hAnsi="Times New Roman" w:eastAsia="华文仿宋" w:cs="Times New Roman"/>
          <w:color w:val="auto"/>
          <w:sz w:val="28"/>
          <w:szCs w:val="28"/>
        </w:rPr>
      </w:pPr>
    </w:p>
    <w:p w14:paraId="135CEC9B">
      <w:pPr>
        <w:rPr>
          <w:rFonts w:ascii="Times New Roman" w:hAnsi="Times New Roman" w:cs="Times New Roman"/>
          <w:color w:val="auto"/>
        </w:rPr>
      </w:pPr>
    </w:p>
    <w:p w14:paraId="4D0B72F0">
      <w:pPr>
        <w:rPr>
          <w:rFonts w:ascii="Times New Roman" w:hAnsi="Times New Roman" w:cs="Times New Roman"/>
          <w:color w:val="auto"/>
        </w:rPr>
      </w:pPr>
    </w:p>
    <w:p w14:paraId="1E485111">
      <w:pPr>
        <w:keepNext/>
        <w:keepLines/>
        <w:spacing w:before="260" w:after="260" w:line="408" w:lineRule="auto"/>
        <w:jc w:val="center"/>
        <w:outlineLvl w:val="1"/>
        <w:rPr>
          <w:rFonts w:ascii="Times New Roman" w:hAnsi="Times New Roman" w:cs="Times New Roman"/>
          <w:b/>
          <w:color w:val="auto"/>
          <w:sz w:val="30"/>
          <w:szCs w:val="20"/>
        </w:rPr>
      </w:pPr>
      <w:r>
        <w:rPr>
          <w:rFonts w:hint="default" w:ascii="Times New Roman" w:hAnsi="Times New Roman" w:cs="Times New Roman"/>
          <w:b/>
          <w:color w:val="auto"/>
          <w:sz w:val="30"/>
          <w:szCs w:val="20"/>
        </w:rPr>
        <w:t>唇齿清胃丸说明书</w:t>
      </w:r>
    </w:p>
    <w:p w14:paraId="59EA41D5">
      <w:pPr>
        <w:spacing w:line="300" w:lineRule="exact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hint="default" w:ascii="Times New Roman" w:hAnsi="Times New Roman" w:cs="Times New Roman"/>
          <w:b/>
          <w:color w:val="auto"/>
        </w:rPr>
        <w:t>请仔细阅读说明书并按说明使用或在药师指导下购买和使用</w:t>
      </w:r>
    </w:p>
    <w:p w14:paraId="53607463">
      <w:pPr>
        <w:spacing w:line="0" w:lineRule="atLeast"/>
        <w:rPr>
          <w:rFonts w:ascii="Times New Roman" w:hAnsi="Times New Roman" w:cs="Times New Roman"/>
          <w:color w:val="auto"/>
          <w:szCs w:val="21"/>
        </w:rPr>
      </w:pPr>
      <w:r>
        <w:rPr>
          <w:rFonts w:ascii="Times New Roman" w:hAnsi="Times New Roman" w:cs="Times New Roman"/>
          <w:color w:val="auto"/>
          <w:szCs w:val="21"/>
        </w:rPr>
        <w:t>[</w:t>
      </w:r>
      <w:r>
        <w:rPr>
          <w:rFonts w:hint="default" w:ascii="Times New Roman" w:hAnsi="Times New Roman" w:cs="Times New Roman"/>
          <w:color w:val="auto"/>
          <w:szCs w:val="21"/>
        </w:rPr>
        <w:t>药品名称</w:t>
      </w:r>
      <w:r>
        <w:rPr>
          <w:rFonts w:ascii="Times New Roman" w:hAnsi="Times New Roman" w:cs="Times New Roman"/>
          <w:color w:val="auto"/>
          <w:szCs w:val="21"/>
        </w:rPr>
        <w:t>]</w:t>
      </w:r>
    </w:p>
    <w:p w14:paraId="05E87985">
      <w:pPr>
        <w:spacing w:line="280" w:lineRule="exact"/>
        <w:rPr>
          <w:rFonts w:ascii="Times New Roman" w:hAnsi="Times New Roman" w:cs="Times New Roman"/>
          <w:color w:val="auto"/>
          <w:szCs w:val="21"/>
        </w:rPr>
      </w:pPr>
      <w:r>
        <w:rPr>
          <w:rFonts w:hint="default" w:ascii="Times New Roman" w:hAnsi="Times New Roman" w:cs="Times New Roman"/>
          <w:color w:val="auto"/>
          <w:szCs w:val="21"/>
        </w:rPr>
        <w:t>通用名称：唇齿清胃丸</w:t>
      </w:r>
    </w:p>
    <w:p w14:paraId="2275F862">
      <w:pPr>
        <w:spacing w:line="280" w:lineRule="exact"/>
        <w:rPr>
          <w:rFonts w:ascii="Times New Roman" w:hAnsi="Times New Roman" w:cs="Times New Roman"/>
          <w:color w:val="auto"/>
          <w:szCs w:val="21"/>
        </w:rPr>
      </w:pPr>
      <w:r>
        <w:rPr>
          <w:rFonts w:hint="default" w:ascii="Times New Roman" w:hAnsi="Times New Roman" w:cs="Times New Roman"/>
          <w:color w:val="auto"/>
          <w:szCs w:val="21"/>
        </w:rPr>
        <w:t>汉语拼音：</w:t>
      </w:r>
    </w:p>
    <w:p w14:paraId="19D871EC">
      <w:pPr>
        <w:spacing w:line="0" w:lineRule="atLeast"/>
        <w:rPr>
          <w:rFonts w:ascii="Times New Roman" w:hAnsi="Times New Roman" w:cs="Times New Roman"/>
          <w:color w:val="auto"/>
          <w:szCs w:val="21"/>
        </w:rPr>
      </w:pPr>
      <w:r>
        <w:rPr>
          <w:rFonts w:ascii="Times New Roman" w:hAnsi="Times New Roman" w:cs="Times New Roman"/>
          <w:color w:val="auto"/>
          <w:szCs w:val="21"/>
        </w:rPr>
        <w:t>[</w:t>
      </w:r>
      <w:r>
        <w:rPr>
          <w:rFonts w:hint="default" w:ascii="Times New Roman" w:hAnsi="Times New Roman" w:cs="Times New Roman"/>
          <w:color w:val="auto"/>
          <w:szCs w:val="21"/>
        </w:rPr>
        <w:t>成份</w:t>
      </w:r>
      <w:r>
        <w:rPr>
          <w:rFonts w:ascii="Times New Roman" w:hAnsi="Times New Roman" w:cs="Times New Roman"/>
          <w:color w:val="auto"/>
          <w:szCs w:val="21"/>
        </w:rPr>
        <w:t>]</w:t>
      </w:r>
    </w:p>
    <w:p w14:paraId="07493F13">
      <w:pPr>
        <w:spacing w:line="280" w:lineRule="exact"/>
        <w:rPr>
          <w:rFonts w:ascii="Times New Roman" w:hAnsi="Times New Roman" w:cs="Times New Roman"/>
          <w:color w:val="auto"/>
          <w:szCs w:val="21"/>
        </w:rPr>
      </w:pPr>
      <w:r>
        <w:rPr>
          <w:rFonts w:ascii="Times New Roman" w:hAnsi="Times New Roman" w:cs="Times New Roman"/>
          <w:color w:val="auto"/>
          <w:szCs w:val="21"/>
        </w:rPr>
        <w:t>[</w:t>
      </w:r>
      <w:r>
        <w:rPr>
          <w:rFonts w:hint="default" w:ascii="Times New Roman" w:hAnsi="Times New Roman" w:cs="Times New Roman"/>
          <w:color w:val="auto"/>
          <w:szCs w:val="21"/>
        </w:rPr>
        <w:t>性状</w:t>
      </w:r>
      <w:r>
        <w:rPr>
          <w:rFonts w:ascii="Times New Roman" w:hAnsi="Times New Roman" w:cs="Times New Roman"/>
          <w:color w:val="auto"/>
          <w:szCs w:val="21"/>
        </w:rPr>
        <w:t>]</w:t>
      </w:r>
    </w:p>
    <w:p w14:paraId="43A6A22A">
      <w:pPr>
        <w:spacing w:line="280" w:lineRule="exact"/>
        <w:rPr>
          <w:rFonts w:ascii="Times New Roman" w:hAnsi="Times New Roman" w:cs="Times New Roman"/>
          <w:color w:val="auto"/>
          <w:szCs w:val="21"/>
        </w:rPr>
      </w:pPr>
      <w:r>
        <w:rPr>
          <w:rFonts w:ascii="Times New Roman" w:hAnsi="Times New Roman" w:cs="Times New Roman"/>
          <w:color w:val="auto"/>
          <w:szCs w:val="21"/>
        </w:rPr>
        <w:t>[</w:t>
      </w:r>
      <w:r>
        <w:rPr>
          <w:rFonts w:hint="default" w:ascii="Times New Roman" w:hAnsi="Times New Roman" w:cs="Times New Roman"/>
          <w:color w:val="auto"/>
          <w:szCs w:val="21"/>
        </w:rPr>
        <w:t>功能主治</w:t>
      </w:r>
      <w:r>
        <w:rPr>
          <w:rFonts w:ascii="Times New Roman" w:hAnsi="Times New Roman" w:cs="Times New Roman"/>
          <w:color w:val="auto"/>
          <w:szCs w:val="21"/>
        </w:rPr>
        <w:t>]</w:t>
      </w:r>
      <w:r>
        <w:rPr>
          <w:rFonts w:hint="default" w:ascii="Times New Roman" w:hAnsi="Times New Roman" w:cs="Times New Roman"/>
          <w:color w:val="auto"/>
          <w:szCs w:val="21"/>
        </w:rPr>
        <w:t>清胃火。用于由胃火引起的牙龈肿痛，口干唇裂，咽喉痛。</w:t>
      </w:r>
    </w:p>
    <w:p w14:paraId="222C0FA4">
      <w:pPr>
        <w:spacing w:line="280" w:lineRule="exact"/>
        <w:rPr>
          <w:rFonts w:ascii="Times New Roman" w:hAnsi="Times New Roman" w:cs="Times New Roman"/>
          <w:color w:val="auto"/>
          <w:szCs w:val="21"/>
        </w:rPr>
      </w:pPr>
      <w:r>
        <w:rPr>
          <w:rFonts w:ascii="Times New Roman" w:hAnsi="Times New Roman" w:cs="Times New Roman"/>
          <w:color w:val="auto"/>
          <w:szCs w:val="21"/>
        </w:rPr>
        <w:t>[</w:t>
      </w:r>
      <w:r>
        <w:rPr>
          <w:rFonts w:hint="default" w:ascii="Times New Roman" w:hAnsi="Times New Roman" w:cs="Times New Roman"/>
          <w:color w:val="auto"/>
          <w:szCs w:val="21"/>
        </w:rPr>
        <w:t>规格</w:t>
      </w:r>
      <w:r>
        <w:rPr>
          <w:rFonts w:ascii="Times New Roman" w:hAnsi="Times New Roman" w:cs="Times New Roman"/>
          <w:color w:val="auto"/>
          <w:szCs w:val="21"/>
        </w:rPr>
        <w:t>]</w:t>
      </w:r>
      <w:r>
        <w:rPr>
          <w:rFonts w:hint="default" w:ascii="Times New Roman" w:hAnsi="Times New Roman" w:cs="Times New Roman"/>
          <w:color w:val="auto"/>
          <w:szCs w:val="21"/>
        </w:rPr>
        <w:t>每袋装4.5克</w:t>
      </w:r>
    </w:p>
    <w:p w14:paraId="3161D5FB">
      <w:pPr>
        <w:spacing w:line="280" w:lineRule="exact"/>
        <w:rPr>
          <w:rFonts w:ascii="Times New Roman" w:hAnsi="Times New Roman" w:cs="Times New Roman"/>
          <w:color w:val="auto"/>
          <w:szCs w:val="21"/>
        </w:rPr>
      </w:pPr>
      <w:r>
        <w:rPr>
          <w:rFonts w:ascii="Times New Roman" w:hAnsi="Times New Roman" w:cs="Times New Roman"/>
          <w:color w:val="auto"/>
          <w:szCs w:val="21"/>
        </w:rPr>
        <w:t>[</w:t>
      </w:r>
      <w:r>
        <w:rPr>
          <w:rFonts w:hint="default" w:ascii="Times New Roman" w:hAnsi="Times New Roman" w:cs="Times New Roman"/>
          <w:color w:val="auto"/>
          <w:szCs w:val="21"/>
        </w:rPr>
        <w:t>用法用量</w:t>
      </w:r>
      <w:r>
        <w:rPr>
          <w:rFonts w:ascii="Times New Roman" w:hAnsi="Times New Roman" w:cs="Times New Roman"/>
          <w:color w:val="auto"/>
          <w:szCs w:val="21"/>
        </w:rPr>
        <w:t>]</w:t>
      </w:r>
      <w:r>
        <w:rPr>
          <w:rFonts w:hint="default" w:ascii="Times New Roman" w:hAnsi="Times New Roman" w:cs="Times New Roman"/>
          <w:color w:val="auto"/>
          <w:szCs w:val="21"/>
        </w:rPr>
        <w:t>口服。一次1袋，一日1～2次。</w:t>
      </w:r>
    </w:p>
    <w:p w14:paraId="04C900EA">
      <w:pPr>
        <w:spacing w:line="280" w:lineRule="exact"/>
        <w:rPr>
          <w:rFonts w:ascii="Times New Roman" w:hAnsi="Times New Roman" w:cs="Times New Roman"/>
          <w:color w:val="auto"/>
          <w:szCs w:val="21"/>
        </w:rPr>
      </w:pPr>
      <w:r>
        <w:rPr>
          <w:rFonts w:ascii="Times New Roman" w:hAnsi="Times New Roman" w:cs="Times New Roman"/>
          <w:color w:val="auto"/>
          <w:szCs w:val="21"/>
        </w:rPr>
        <w:t>[</w:t>
      </w:r>
      <w:r>
        <w:rPr>
          <w:rFonts w:hint="default" w:ascii="Times New Roman" w:hAnsi="Times New Roman" w:cs="Times New Roman"/>
          <w:color w:val="auto"/>
          <w:szCs w:val="21"/>
        </w:rPr>
        <w:t>不良反应</w:t>
      </w:r>
      <w:r>
        <w:rPr>
          <w:rFonts w:ascii="Times New Roman" w:hAnsi="Times New Roman" w:cs="Times New Roman"/>
          <w:color w:val="auto"/>
          <w:szCs w:val="21"/>
        </w:rPr>
        <w:t>]</w:t>
      </w:r>
      <w:r>
        <w:rPr>
          <w:rFonts w:hint="default" w:ascii="Times New Roman" w:hAnsi="Times New Roman" w:cs="Times New Roman"/>
          <w:color w:val="auto"/>
        </w:rPr>
        <w:t>监测数据显示，本品可见以下不良反应报告：腹泻、腹痛、恶心、腹部不适、呕吐、瘙痒、皮疹、头晕等。</w:t>
      </w:r>
    </w:p>
    <w:p w14:paraId="1AF52646">
      <w:pPr>
        <w:spacing w:line="0" w:lineRule="atLeast"/>
        <w:rPr>
          <w:rFonts w:ascii="Times New Roman" w:hAnsi="Times New Roman" w:cs="Times New Roman"/>
          <w:b/>
          <w:bCs/>
          <w:color w:val="auto"/>
          <w:szCs w:val="21"/>
        </w:rPr>
      </w:pPr>
      <w:r>
        <w:rPr>
          <w:rFonts w:ascii="Times New Roman" w:hAnsi="Times New Roman" w:cs="Times New Roman"/>
          <w:b/>
          <w:bCs/>
          <w:color w:val="auto"/>
          <w:szCs w:val="21"/>
        </w:rPr>
        <w:t>[</w:t>
      </w:r>
      <w:r>
        <w:rPr>
          <w:rFonts w:hint="default" w:ascii="Times New Roman" w:hAnsi="Times New Roman" w:cs="Times New Roman"/>
          <w:b/>
          <w:bCs/>
          <w:color w:val="auto"/>
          <w:szCs w:val="21"/>
        </w:rPr>
        <w:t>禁忌</w:t>
      </w:r>
      <w:r>
        <w:rPr>
          <w:rFonts w:ascii="Times New Roman" w:hAnsi="Times New Roman" w:cs="Times New Roman"/>
          <w:b/>
          <w:bCs/>
          <w:color w:val="auto"/>
          <w:szCs w:val="21"/>
        </w:rPr>
        <w:t>]</w:t>
      </w:r>
    </w:p>
    <w:p w14:paraId="73532AAC">
      <w:pPr>
        <w:spacing w:line="0" w:lineRule="atLeast"/>
        <w:rPr>
          <w:rFonts w:ascii="Times New Roman" w:hAnsi="Times New Roman" w:cs="Times New Roman"/>
          <w:b/>
          <w:bCs/>
          <w:color w:val="auto"/>
          <w:szCs w:val="21"/>
        </w:rPr>
      </w:pPr>
      <w:r>
        <w:rPr>
          <w:rFonts w:hint="default" w:ascii="Times New Roman" w:hAnsi="Times New Roman" w:cs="Times New Roman"/>
          <w:b/>
          <w:bCs/>
          <w:color w:val="auto"/>
          <w:szCs w:val="21"/>
        </w:rPr>
        <w:t>1．孕妇忌服。</w:t>
      </w:r>
    </w:p>
    <w:p w14:paraId="700D1886">
      <w:pPr>
        <w:spacing w:line="0" w:lineRule="atLeast"/>
        <w:rPr>
          <w:rFonts w:ascii="Times New Roman" w:hAnsi="Times New Roman" w:cs="Times New Roman"/>
          <w:b/>
          <w:color w:val="auto"/>
        </w:rPr>
      </w:pPr>
      <w:r>
        <w:rPr>
          <w:rFonts w:hint="default" w:ascii="Times New Roman" w:hAnsi="Times New Roman" w:cs="Times New Roman"/>
          <w:b/>
          <w:bCs/>
          <w:color w:val="auto"/>
          <w:szCs w:val="21"/>
        </w:rPr>
        <w:t>2．对本品及所含成份过敏者禁用。</w:t>
      </w:r>
    </w:p>
    <w:p w14:paraId="3F47038C">
      <w:pPr>
        <w:spacing w:line="0" w:lineRule="atLeast"/>
        <w:rPr>
          <w:rFonts w:ascii="Times New Roman" w:hAnsi="Times New Roman" w:cs="Times New Roman"/>
          <w:b/>
          <w:bCs/>
          <w:color w:val="auto"/>
          <w:szCs w:val="21"/>
        </w:rPr>
      </w:pPr>
      <w:r>
        <w:rPr>
          <w:rFonts w:ascii="Times New Roman" w:hAnsi="Times New Roman" w:cs="Times New Roman"/>
          <w:b/>
          <w:bCs/>
          <w:color w:val="auto"/>
          <w:szCs w:val="21"/>
        </w:rPr>
        <w:t>[</w:t>
      </w:r>
      <w:r>
        <w:rPr>
          <w:rFonts w:hint="default" w:ascii="Times New Roman" w:hAnsi="Times New Roman" w:cs="Times New Roman"/>
          <w:b/>
          <w:bCs/>
          <w:color w:val="auto"/>
          <w:szCs w:val="21"/>
        </w:rPr>
        <w:t>注意事项</w:t>
      </w:r>
      <w:r>
        <w:rPr>
          <w:rFonts w:ascii="Times New Roman" w:hAnsi="Times New Roman" w:cs="Times New Roman"/>
          <w:b/>
          <w:bCs/>
          <w:color w:val="auto"/>
          <w:szCs w:val="21"/>
        </w:rPr>
        <w:t>]</w:t>
      </w:r>
    </w:p>
    <w:p w14:paraId="4899F107">
      <w:pPr>
        <w:spacing w:line="0" w:lineRule="atLeast"/>
        <w:rPr>
          <w:rFonts w:ascii="Times New Roman" w:hAnsi="Times New Roman" w:cs="Times New Roman"/>
          <w:b/>
          <w:bCs/>
          <w:color w:val="auto"/>
          <w:szCs w:val="21"/>
        </w:rPr>
      </w:pPr>
      <w:r>
        <w:rPr>
          <w:rFonts w:hint="default" w:ascii="Times New Roman" w:hAnsi="Times New Roman" w:cs="Times New Roman"/>
          <w:b/>
          <w:bCs/>
          <w:color w:val="auto"/>
          <w:szCs w:val="21"/>
        </w:rPr>
        <w:t>1．忌烟、酒及辛辣、油腻食物。</w:t>
      </w:r>
    </w:p>
    <w:p w14:paraId="3E54EA85">
      <w:pPr>
        <w:spacing w:line="0" w:lineRule="atLeast"/>
        <w:rPr>
          <w:rFonts w:ascii="Times New Roman" w:hAnsi="Times New Roman" w:cs="Times New Roman"/>
          <w:b/>
          <w:bCs/>
          <w:color w:val="auto"/>
          <w:szCs w:val="21"/>
        </w:rPr>
      </w:pPr>
      <w:r>
        <w:rPr>
          <w:rFonts w:hint="default" w:ascii="Times New Roman" w:hAnsi="Times New Roman" w:cs="Times New Roman"/>
          <w:b/>
          <w:bCs/>
          <w:color w:val="auto"/>
          <w:szCs w:val="21"/>
        </w:rPr>
        <w:t>2．不宜在服药期间同时服用滋补性中成药。</w:t>
      </w:r>
    </w:p>
    <w:p w14:paraId="00D8712D">
      <w:pPr>
        <w:spacing w:line="0" w:lineRule="atLeast"/>
        <w:rPr>
          <w:rFonts w:ascii="Times New Roman" w:hAnsi="Times New Roman" w:cs="Times New Roman"/>
          <w:b/>
          <w:bCs/>
          <w:color w:val="auto"/>
          <w:szCs w:val="21"/>
        </w:rPr>
      </w:pPr>
      <w:r>
        <w:rPr>
          <w:rFonts w:hint="default" w:ascii="Times New Roman" w:hAnsi="Times New Roman" w:cs="Times New Roman"/>
          <w:b/>
          <w:bCs/>
          <w:color w:val="auto"/>
          <w:szCs w:val="21"/>
        </w:rPr>
        <w:t>3</w:t>
      </w:r>
      <w:r>
        <w:rPr>
          <w:rFonts w:ascii="Times New Roman" w:hAnsi="Times New Roman" w:cs="Times New Roman"/>
          <w:b/>
          <w:bCs/>
          <w:color w:val="auto"/>
          <w:szCs w:val="21"/>
        </w:rPr>
        <w:t xml:space="preserve">.  </w:t>
      </w:r>
      <w:r>
        <w:rPr>
          <w:rFonts w:hint="default" w:ascii="Times New Roman" w:hAnsi="Times New Roman" w:cs="Times New Roman"/>
          <w:b/>
          <w:bCs/>
          <w:color w:val="auto"/>
          <w:szCs w:val="21"/>
        </w:rPr>
        <w:t>脾胃虚寒，食少、大便次多、便溏者不适用。</w:t>
      </w:r>
    </w:p>
    <w:p w14:paraId="7EAF9D41">
      <w:pPr>
        <w:spacing w:line="0" w:lineRule="atLeast"/>
        <w:rPr>
          <w:rFonts w:ascii="Times New Roman" w:hAnsi="Times New Roman" w:cs="Times New Roman"/>
          <w:b/>
          <w:bCs/>
          <w:color w:val="auto"/>
          <w:szCs w:val="21"/>
        </w:rPr>
      </w:pPr>
      <w:r>
        <w:rPr>
          <w:rFonts w:ascii="Times New Roman" w:hAnsi="Times New Roman" w:cs="Times New Roman"/>
          <w:b/>
          <w:bCs/>
          <w:color w:val="auto"/>
          <w:szCs w:val="21"/>
        </w:rPr>
        <w:t>4</w:t>
      </w:r>
      <w:r>
        <w:rPr>
          <w:rFonts w:hint="default" w:ascii="Times New Roman" w:hAnsi="Times New Roman" w:cs="Times New Roman"/>
          <w:b/>
          <w:bCs/>
          <w:color w:val="auto"/>
          <w:szCs w:val="21"/>
        </w:rPr>
        <w:t>．高血压、心脏病、肝病、糖尿病、肾病等患者应在医师指导下服用。</w:t>
      </w:r>
    </w:p>
    <w:p w14:paraId="79270A93">
      <w:pPr>
        <w:spacing w:line="0" w:lineRule="atLeast"/>
        <w:rPr>
          <w:rFonts w:ascii="Times New Roman" w:hAnsi="Times New Roman" w:cs="Times New Roman"/>
          <w:b/>
          <w:bCs/>
          <w:color w:val="auto"/>
          <w:szCs w:val="21"/>
        </w:rPr>
      </w:pPr>
      <w:r>
        <w:rPr>
          <w:rFonts w:ascii="Times New Roman" w:hAnsi="Times New Roman" w:cs="Times New Roman"/>
          <w:b/>
          <w:bCs/>
          <w:color w:val="auto"/>
          <w:szCs w:val="21"/>
        </w:rPr>
        <w:t>5</w:t>
      </w:r>
      <w:r>
        <w:rPr>
          <w:rFonts w:hint="default" w:ascii="Times New Roman" w:hAnsi="Times New Roman" w:cs="Times New Roman"/>
          <w:b/>
          <w:bCs/>
          <w:color w:val="auto"/>
          <w:szCs w:val="21"/>
        </w:rPr>
        <w:t>．按照用法用量服用，年老体弱者应在医师指导下服用。</w:t>
      </w:r>
    </w:p>
    <w:p w14:paraId="0DD5C872">
      <w:pPr>
        <w:spacing w:line="0" w:lineRule="atLeast"/>
        <w:rPr>
          <w:rFonts w:ascii="Times New Roman" w:hAnsi="Times New Roman" w:cs="Times New Roman"/>
          <w:b/>
          <w:bCs/>
          <w:color w:val="auto"/>
          <w:szCs w:val="21"/>
        </w:rPr>
      </w:pPr>
      <w:r>
        <w:rPr>
          <w:rFonts w:ascii="Times New Roman" w:hAnsi="Times New Roman" w:cs="Times New Roman"/>
          <w:b/>
          <w:bCs/>
          <w:color w:val="auto"/>
          <w:szCs w:val="21"/>
        </w:rPr>
        <w:t xml:space="preserve">6.  </w:t>
      </w:r>
      <w:r>
        <w:rPr>
          <w:rFonts w:hint="default" w:ascii="Times New Roman" w:hAnsi="Times New Roman" w:cs="Times New Roman"/>
          <w:b/>
          <w:bCs/>
          <w:color w:val="auto"/>
          <w:szCs w:val="21"/>
        </w:rPr>
        <w:t>服药3天症状无改善，或服药期间症状加重，或出现新的严重症状，应去医院就诊。</w:t>
      </w:r>
    </w:p>
    <w:p w14:paraId="6AC036FD">
      <w:pPr>
        <w:spacing w:line="0" w:lineRule="atLeast"/>
        <w:rPr>
          <w:rFonts w:ascii="Times New Roman" w:hAnsi="Times New Roman" w:cs="Times New Roman"/>
          <w:b/>
          <w:bCs/>
          <w:color w:val="auto"/>
          <w:szCs w:val="21"/>
        </w:rPr>
      </w:pPr>
      <w:r>
        <w:rPr>
          <w:rFonts w:ascii="Times New Roman" w:hAnsi="Times New Roman" w:cs="Times New Roman"/>
          <w:b/>
          <w:bCs/>
          <w:color w:val="auto"/>
          <w:szCs w:val="21"/>
        </w:rPr>
        <w:t>7</w:t>
      </w:r>
      <w:r>
        <w:rPr>
          <w:rFonts w:hint="default" w:ascii="Times New Roman" w:hAnsi="Times New Roman" w:cs="Times New Roman"/>
          <w:b/>
          <w:bCs/>
          <w:color w:val="auto"/>
          <w:szCs w:val="21"/>
        </w:rPr>
        <w:t>．过敏体质者慎用。</w:t>
      </w:r>
    </w:p>
    <w:p w14:paraId="1C9F4145">
      <w:pPr>
        <w:spacing w:line="0" w:lineRule="atLeast"/>
        <w:rPr>
          <w:rFonts w:ascii="Times New Roman" w:hAnsi="Times New Roman" w:cs="Times New Roman"/>
          <w:b/>
          <w:bCs/>
          <w:color w:val="auto"/>
          <w:szCs w:val="21"/>
        </w:rPr>
      </w:pPr>
      <w:r>
        <w:rPr>
          <w:rFonts w:hint="default" w:ascii="Times New Roman" w:hAnsi="Times New Roman" w:cs="Times New Roman"/>
          <w:b/>
          <w:bCs/>
          <w:color w:val="auto"/>
          <w:szCs w:val="21"/>
        </w:rPr>
        <w:t>8．本品性状发生改变时禁止使用。</w:t>
      </w:r>
    </w:p>
    <w:p w14:paraId="7E12B834">
      <w:pPr>
        <w:spacing w:line="0" w:lineRule="atLeast"/>
        <w:rPr>
          <w:rFonts w:ascii="Times New Roman" w:hAnsi="Times New Roman" w:cs="Times New Roman"/>
          <w:b/>
          <w:bCs/>
          <w:color w:val="auto"/>
          <w:szCs w:val="21"/>
        </w:rPr>
      </w:pPr>
      <w:r>
        <w:rPr>
          <w:rFonts w:hint="default" w:ascii="Times New Roman" w:hAnsi="Times New Roman" w:cs="Times New Roman"/>
          <w:b/>
          <w:bCs/>
          <w:color w:val="auto"/>
          <w:szCs w:val="21"/>
        </w:rPr>
        <w:t>9．请将此药品放在儿童不能接触的地方。</w:t>
      </w:r>
    </w:p>
    <w:p w14:paraId="2613B461">
      <w:pPr>
        <w:spacing w:line="0" w:lineRule="atLeast"/>
        <w:rPr>
          <w:rFonts w:ascii="Times New Roman" w:hAnsi="Times New Roman" w:cs="Times New Roman"/>
          <w:b/>
          <w:bCs/>
          <w:color w:val="auto"/>
          <w:szCs w:val="21"/>
        </w:rPr>
      </w:pPr>
      <w:r>
        <w:rPr>
          <w:rFonts w:hint="default" w:ascii="Times New Roman" w:hAnsi="Times New Roman" w:cs="Times New Roman"/>
          <w:b/>
          <w:bCs/>
          <w:color w:val="auto"/>
          <w:szCs w:val="21"/>
        </w:rPr>
        <w:t>1</w:t>
      </w:r>
      <w:r>
        <w:rPr>
          <w:rFonts w:ascii="Times New Roman" w:hAnsi="Times New Roman" w:cs="Times New Roman"/>
          <w:b/>
          <w:bCs/>
          <w:color w:val="auto"/>
          <w:szCs w:val="21"/>
        </w:rPr>
        <w:t>0</w:t>
      </w:r>
      <w:r>
        <w:rPr>
          <w:rFonts w:hint="default" w:ascii="Times New Roman" w:hAnsi="Times New Roman" w:cs="Times New Roman"/>
          <w:b/>
          <w:bCs/>
          <w:color w:val="auto"/>
          <w:szCs w:val="21"/>
        </w:rPr>
        <w:t>．如正在使用其他药品，使用本品前请咨询医师或药师。</w:t>
      </w:r>
    </w:p>
    <w:p w14:paraId="49EB1FF5">
      <w:pPr>
        <w:spacing w:line="0" w:lineRule="atLeast"/>
        <w:rPr>
          <w:rFonts w:ascii="Times New Roman" w:hAnsi="Times New Roman" w:cs="Times New Roman"/>
          <w:color w:val="auto"/>
          <w:szCs w:val="21"/>
        </w:rPr>
      </w:pPr>
      <w:r>
        <w:rPr>
          <w:rFonts w:ascii="Times New Roman" w:hAnsi="Times New Roman" w:cs="Times New Roman"/>
          <w:color w:val="auto"/>
          <w:szCs w:val="21"/>
        </w:rPr>
        <w:t>[</w:t>
      </w:r>
      <w:r>
        <w:rPr>
          <w:rFonts w:hint="default" w:ascii="Times New Roman" w:hAnsi="Times New Roman" w:cs="Times New Roman"/>
          <w:color w:val="auto"/>
          <w:szCs w:val="21"/>
        </w:rPr>
        <w:t>药物相互作用]如与其他药物同时使用可能会发生药物相互作用，详情请咨询医师或药师。</w:t>
      </w:r>
    </w:p>
    <w:p w14:paraId="61DA58A1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[</w:t>
      </w:r>
      <w:r>
        <w:rPr>
          <w:rFonts w:hint="default" w:ascii="Times New Roman" w:hAnsi="Times New Roman" w:cs="Times New Roman"/>
          <w:color w:val="auto"/>
        </w:rPr>
        <w:t>贮藏</w:t>
      </w:r>
      <w:r>
        <w:rPr>
          <w:rFonts w:ascii="Times New Roman" w:hAnsi="Times New Roman" w:cs="Times New Roman"/>
          <w:color w:val="auto"/>
        </w:rPr>
        <w:t xml:space="preserve">] </w:t>
      </w:r>
      <w:r>
        <w:rPr>
          <w:rFonts w:ascii="Times New Roman" w:hAnsi="Times New Roman" w:cs="Times New Roman"/>
          <w:color w:val="auto"/>
        </w:rPr>
        <w:br w:type="textWrapping"/>
      </w:r>
      <w:r>
        <w:rPr>
          <w:rFonts w:ascii="Times New Roman" w:hAnsi="Times New Roman" w:cs="Times New Roman"/>
          <w:color w:val="auto"/>
        </w:rPr>
        <w:t>[</w:t>
      </w:r>
      <w:r>
        <w:rPr>
          <w:rFonts w:hint="default" w:ascii="Times New Roman" w:hAnsi="Times New Roman" w:cs="Times New Roman"/>
          <w:color w:val="auto"/>
        </w:rPr>
        <w:t>包装</w:t>
      </w:r>
      <w:r>
        <w:rPr>
          <w:rFonts w:ascii="Times New Roman" w:hAnsi="Times New Roman" w:cs="Times New Roman"/>
          <w:color w:val="auto"/>
        </w:rPr>
        <w:t>]</w:t>
      </w:r>
      <w:r>
        <w:rPr>
          <w:rFonts w:ascii="Times New Roman" w:hAnsi="Times New Roman" w:cs="Times New Roman"/>
          <w:color w:val="auto"/>
        </w:rPr>
        <w:br w:type="textWrapping"/>
      </w:r>
      <w:r>
        <w:rPr>
          <w:rFonts w:ascii="Times New Roman" w:hAnsi="Times New Roman" w:cs="Times New Roman"/>
          <w:color w:val="auto"/>
        </w:rPr>
        <w:t>[</w:t>
      </w:r>
      <w:r>
        <w:rPr>
          <w:rFonts w:hint="default" w:ascii="Times New Roman" w:hAnsi="Times New Roman" w:cs="Times New Roman"/>
          <w:color w:val="auto"/>
        </w:rPr>
        <w:t>有效期</w:t>
      </w:r>
      <w:r>
        <w:rPr>
          <w:rFonts w:ascii="Times New Roman" w:hAnsi="Times New Roman" w:cs="Times New Roman"/>
          <w:color w:val="auto"/>
        </w:rPr>
        <w:t>]</w:t>
      </w:r>
      <w:r>
        <w:rPr>
          <w:rFonts w:ascii="Times New Roman" w:hAnsi="Times New Roman" w:cs="Times New Roman"/>
          <w:color w:val="auto"/>
        </w:rPr>
        <w:br w:type="textWrapping"/>
      </w:r>
      <w:r>
        <w:rPr>
          <w:rFonts w:ascii="Times New Roman" w:hAnsi="Times New Roman" w:cs="Times New Roman"/>
          <w:color w:val="auto"/>
        </w:rPr>
        <w:t>[</w:t>
      </w:r>
      <w:r>
        <w:rPr>
          <w:rFonts w:hint="default" w:ascii="Times New Roman" w:hAnsi="Times New Roman" w:cs="Times New Roman"/>
          <w:color w:val="auto"/>
        </w:rPr>
        <w:t>执行标准</w:t>
      </w:r>
      <w:r>
        <w:rPr>
          <w:rFonts w:ascii="Times New Roman" w:hAnsi="Times New Roman" w:cs="Times New Roman"/>
          <w:color w:val="auto"/>
        </w:rPr>
        <w:t>]</w:t>
      </w:r>
      <w:r>
        <w:rPr>
          <w:rFonts w:ascii="Times New Roman" w:hAnsi="Times New Roman" w:cs="Times New Roman"/>
          <w:color w:val="auto"/>
        </w:rPr>
        <w:br w:type="textWrapping"/>
      </w:r>
      <w:r>
        <w:rPr>
          <w:rFonts w:ascii="Times New Roman" w:hAnsi="Times New Roman" w:cs="Times New Roman"/>
          <w:color w:val="auto"/>
        </w:rPr>
        <w:t>[</w:t>
      </w:r>
      <w:r>
        <w:rPr>
          <w:rFonts w:hint="default" w:ascii="Times New Roman" w:hAnsi="Times New Roman" w:cs="Times New Roman"/>
          <w:color w:val="auto"/>
        </w:rPr>
        <w:t>批准文号</w:t>
      </w:r>
      <w:r>
        <w:rPr>
          <w:rFonts w:ascii="Times New Roman" w:hAnsi="Times New Roman" w:cs="Times New Roman"/>
          <w:color w:val="auto"/>
        </w:rPr>
        <w:t>]</w:t>
      </w:r>
      <w:r>
        <w:rPr>
          <w:rFonts w:ascii="Times New Roman" w:hAnsi="Times New Roman" w:cs="Times New Roman"/>
          <w:color w:val="auto"/>
        </w:rPr>
        <w:br w:type="textWrapping"/>
      </w:r>
      <w:r>
        <w:rPr>
          <w:rFonts w:ascii="Times New Roman" w:hAnsi="Times New Roman" w:cs="Times New Roman"/>
          <w:color w:val="auto"/>
        </w:rPr>
        <w:t>[</w:t>
      </w:r>
      <w:r>
        <w:rPr>
          <w:rFonts w:hint="default" w:ascii="Times New Roman" w:hAnsi="Times New Roman" w:cs="Times New Roman"/>
          <w:color w:val="auto"/>
        </w:rPr>
        <w:t>说明书修订日期</w:t>
      </w:r>
      <w:r>
        <w:rPr>
          <w:rFonts w:ascii="Times New Roman" w:hAnsi="Times New Roman" w:cs="Times New Roman"/>
          <w:color w:val="auto"/>
        </w:rPr>
        <w:t>]</w:t>
      </w:r>
      <w:r>
        <w:rPr>
          <w:rFonts w:ascii="Times New Roman" w:hAnsi="Times New Roman" w:cs="Times New Roman"/>
          <w:color w:val="auto"/>
        </w:rPr>
        <w:br w:type="textWrapping"/>
      </w:r>
      <w:r>
        <w:rPr>
          <w:rFonts w:ascii="Times New Roman" w:hAnsi="Times New Roman" w:cs="Times New Roman"/>
          <w:color w:val="auto"/>
        </w:rPr>
        <w:t>[</w:t>
      </w:r>
      <w:r>
        <w:rPr>
          <w:rFonts w:hint="default" w:ascii="Times New Roman" w:hAnsi="Times New Roman" w:cs="Times New Roman"/>
          <w:color w:val="auto"/>
        </w:rPr>
        <w:t>药品上市许可持有人</w:t>
      </w:r>
      <w:r>
        <w:rPr>
          <w:rFonts w:ascii="Times New Roman" w:hAnsi="Times New Roman" w:cs="Times New Roman"/>
          <w:color w:val="auto"/>
        </w:rPr>
        <w:t>]</w:t>
      </w:r>
    </w:p>
    <w:p w14:paraId="0E294013">
      <w:pPr>
        <w:rPr>
          <w:rFonts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名</w:t>
      </w:r>
      <w:r>
        <w:rPr>
          <w:rFonts w:ascii="Times New Roman" w:hAnsi="Times New Roman" w:cs="Times New Roman"/>
          <w:color w:val="auto"/>
        </w:rPr>
        <w:t xml:space="preserve">    </w:t>
      </w:r>
      <w:r>
        <w:rPr>
          <w:rFonts w:hint="default" w:ascii="Times New Roman" w:hAnsi="Times New Roman" w:cs="Times New Roman"/>
          <w:color w:val="auto"/>
        </w:rPr>
        <w:t>称：</w:t>
      </w:r>
      <w:r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br w:type="textWrapping"/>
      </w:r>
      <w:r>
        <w:rPr>
          <w:rFonts w:hint="default" w:ascii="Times New Roman" w:hAnsi="Times New Roman" w:cs="Times New Roman"/>
          <w:color w:val="auto"/>
        </w:rPr>
        <w:t>注册地址：</w:t>
      </w:r>
      <w:r>
        <w:rPr>
          <w:rFonts w:ascii="Times New Roman" w:hAnsi="Times New Roman" w:cs="Times New Roman"/>
          <w:color w:val="auto"/>
        </w:rPr>
        <w:br w:type="textWrapping"/>
      </w:r>
      <w:r>
        <w:rPr>
          <w:rFonts w:hint="default" w:ascii="Times New Roman" w:hAnsi="Times New Roman" w:cs="Times New Roman"/>
          <w:color w:val="auto"/>
        </w:rPr>
        <w:t>邮政编码：</w:t>
      </w:r>
      <w:r>
        <w:rPr>
          <w:rFonts w:ascii="Times New Roman" w:hAnsi="Times New Roman" w:cs="Times New Roman"/>
          <w:color w:val="auto"/>
        </w:rPr>
        <w:br w:type="textWrapping"/>
      </w:r>
      <w:r>
        <w:rPr>
          <w:rFonts w:hint="default" w:ascii="Times New Roman" w:hAnsi="Times New Roman" w:cs="Times New Roman"/>
          <w:color w:val="auto"/>
        </w:rPr>
        <w:t>电话号码：</w:t>
      </w:r>
      <w:r>
        <w:rPr>
          <w:rFonts w:ascii="Times New Roman" w:hAnsi="Times New Roman" w:cs="Times New Roman"/>
          <w:color w:val="auto"/>
        </w:rPr>
        <w:br w:type="textWrapping"/>
      </w:r>
      <w:r>
        <w:rPr>
          <w:rFonts w:hint="default" w:ascii="Times New Roman" w:hAnsi="Times New Roman" w:cs="Times New Roman"/>
          <w:color w:val="auto"/>
        </w:rPr>
        <w:t>传真号码：</w:t>
      </w:r>
      <w:r>
        <w:rPr>
          <w:rFonts w:ascii="Times New Roman" w:hAnsi="Times New Roman" w:cs="Times New Roman"/>
          <w:color w:val="auto"/>
        </w:rPr>
        <w:br w:type="textWrapping"/>
      </w:r>
      <w:r>
        <w:rPr>
          <w:rFonts w:hint="default" w:ascii="Times New Roman" w:hAnsi="Times New Roman" w:cs="Times New Roman"/>
          <w:color w:val="auto"/>
        </w:rPr>
        <w:t>网</w:t>
      </w:r>
      <w:r>
        <w:rPr>
          <w:rFonts w:ascii="Times New Roman" w:hAnsi="Times New Roman" w:cs="Times New Roman"/>
          <w:color w:val="auto"/>
        </w:rPr>
        <w:t xml:space="preserve">    </w:t>
      </w:r>
      <w:r>
        <w:rPr>
          <w:rFonts w:hint="default" w:ascii="Times New Roman" w:hAnsi="Times New Roman" w:cs="Times New Roman"/>
          <w:color w:val="auto"/>
        </w:rPr>
        <w:t>址：</w:t>
      </w:r>
    </w:p>
    <w:p w14:paraId="409F00B9">
      <w:pPr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color w:val="auto"/>
        </w:rPr>
        <w:t>[</w:t>
      </w:r>
      <w:r>
        <w:rPr>
          <w:rFonts w:hint="default" w:ascii="Times New Roman" w:hAnsi="Times New Roman" w:cs="Times New Roman"/>
          <w:color w:val="auto"/>
        </w:rPr>
        <w:t>生产企业</w:t>
      </w:r>
      <w:r>
        <w:rPr>
          <w:rFonts w:ascii="Times New Roman" w:hAnsi="Times New Roman" w:cs="Times New Roman"/>
          <w:color w:val="auto"/>
        </w:rPr>
        <w:t>]</w:t>
      </w:r>
      <w:r>
        <w:rPr>
          <w:rFonts w:ascii="Times New Roman" w:hAnsi="Times New Roman" w:cs="Times New Roman"/>
          <w:color w:val="auto"/>
        </w:rPr>
        <w:br w:type="textWrapping"/>
      </w:r>
      <w:r>
        <w:rPr>
          <w:rFonts w:hint="default" w:ascii="Times New Roman" w:hAnsi="Times New Roman" w:cs="Times New Roman"/>
          <w:color w:val="auto"/>
        </w:rPr>
        <w:t>企业名称：</w:t>
      </w:r>
      <w:r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br w:type="textWrapping"/>
      </w:r>
      <w:r>
        <w:rPr>
          <w:rFonts w:hint="default" w:ascii="Times New Roman" w:hAnsi="Times New Roman" w:cs="Times New Roman"/>
          <w:color w:val="auto"/>
        </w:rPr>
        <w:t>生产地址：</w:t>
      </w:r>
      <w:r>
        <w:rPr>
          <w:rFonts w:ascii="Times New Roman" w:hAnsi="Times New Roman" w:cs="Times New Roman"/>
          <w:color w:val="auto"/>
        </w:rPr>
        <w:br w:type="textWrapping"/>
      </w:r>
      <w:r>
        <w:rPr>
          <w:rFonts w:hint="default" w:ascii="Times New Roman" w:hAnsi="Times New Roman" w:cs="Times New Roman"/>
          <w:b/>
          <w:bCs/>
          <w:color w:val="auto"/>
        </w:rPr>
        <w:t>如有问题可与药品上市许可持有人联系</w:t>
      </w:r>
    </w:p>
    <w:p w14:paraId="2779CE88">
      <w:pPr>
        <w:rPr>
          <w:rFonts w:ascii="Times New Roman" w:hAnsi="Times New Roman" w:cs="Times New Roman"/>
          <w:b/>
          <w:bCs/>
          <w:color w:val="auto"/>
        </w:rPr>
      </w:pPr>
    </w:p>
    <w:p w14:paraId="2052ADBC">
      <w:pPr>
        <w:rPr>
          <w:rFonts w:ascii="Times New Roman" w:hAnsi="Times New Roman" w:cs="Times New Roman"/>
          <w:b/>
          <w:bCs/>
          <w:color w:val="auto"/>
        </w:rPr>
      </w:pPr>
    </w:p>
    <w:p w14:paraId="50872A83">
      <w:pPr>
        <w:rPr>
          <w:rFonts w:ascii="Times New Roman" w:hAnsi="Times New Roman" w:cs="Times New Roman"/>
          <w:b/>
          <w:bCs/>
          <w:color w:val="auto"/>
        </w:rPr>
      </w:pPr>
      <w:r>
        <w:rPr>
          <w:rFonts w:hint="default" w:ascii="Times New Roman" w:hAnsi="Times New Roman" w:cs="Times New Roman"/>
          <w:color w:val="auto"/>
          <w:szCs w:val="21"/>
        </w:rPr>
        <w:t>（注：本说明书范本原则上不得删减，如原批准说明书的安全性内容较本范本内容更全面或者更严格的，应当保留原批准内容。）</w:t>
      </w:r>
    </w:p>
    <w:p w14:paraId="66B76DA8">
      <w:pPr>
        <w:rPr>
          <w:rFonts w:ascii="Times New Roman" w:hAnsi="Times New Roman" w:cs="Times New Roman"/>
          <w:color w:val="auto"/>
          <w:kern w:val="0"/>
          <w:lang w:bidi="ar"/>
        </w:rPr>
      </w:pPr>
    </w:p>
    <w:p w14:paraId="06368D87">
      <w:pPr>
        <w:rPr>
          <w:rFonts w:ascii="Times New Roman" w:hAnsi="Times New Roman" w:cs="Times New Roman"/>
          <w:color w:val="auto"/>
          <w:kern w:val="0"/>
          <w:lang w:bidi="ar"/>
        </w:rPr>
      </w:pPr>
    </w:p>
    <w:p w14:paraId="5FD4F98F">
      <w:pPr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4B7C1A5A">
      <w:pPr>
        <w:keepNext/>
        <w:keepLines/>
        <w:spacing w:before="260" w:after="260" w:line="408" w:lineRule="auto"/>
        <w:jc w:val="center"/>
        <w:outlineLvl w:val="1"/>
        <w:rPr>
          <w:rFonts w:ascii="宋体" w:hAnsi="宋体" w:cs="宋体"/>
          <w:b/>
          <w:color w:val="000000"/>
          <w:sz w:val="30"/>
          <w:szCs w:val="20"/>
        </w:rPr>
      </w:pPr>
      <w:bookmarkStart w:id="0" w:name="OLE_LINK2"/>
      <w:bookmarkStart w:id="1" w:name="OLE_LINK1"/>
      <w:r>
        <w:rPr>
          <w:rFonts w:hint="eastAsia" w:ascii="宋体" w:hAnsi="宋体" w:cs="宋体"/>
          <w:b/>
          <w:color w:val="000000"/>
          <w:sz w:val="30"/>
          <w:szCs w:val="20"/>
        </w:rPr>
        <w:br w:type="page"/>
      </w:r>
      <w:r>
        <w:rPr>
          <w:rFonts w:hint="eastAsia" w:ascii="宋体" w:hAnsi="宋体" w:cs="宋体"/>
          <w:b/>
          <w:color w:val="000000"/>
          <w:sz w:val="30"/>
          <w:szCs w:val="20"/>
        </w:rPr>
        <w:t>儿童咳颗粒说明书</w:t>
      </w:r>
    </w:p>
    <w:bookmarkEnd w:id="0"/>
    <w:bookmarkEnd w:id="1"/>
    <w:p w14:paraId="3E25B8D0">
      <w:pPr>
        <w:spacing w:line="300" w:lineRule="exact"/>
        <w:jc w:val="center"/>
        <w:rPr>
          <w:rFonts w:ascii="宋体" w:hAnsi="宋体"/>
          <w:b/>
        </w:rPr>
      </w:pPr>
      <w:r>
        <w:rPr>
          <w:rFonts w:hint="eastAsia" w:ascii="宋体" w:hAnsi="宋体"/>
          <w:b/>
        </w:rPr>
        <w:t>请仔细阅读说明书并按说明使用或在药师指导下购买和使用</w:t>
      </w:r>
    </w:p>
    <w:p w14:paraId="5BC82142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药品名称</w:t>
      </w:r>
      <w:r>
        <w:rPr>
          <w:rFonts w:ascii="宋体" w:hAnsi="宋体"/>
          <w:szCs w:val="21"/>
        </w:rPr>
        <w:t>]</w:t>
      </w:r>
    </w:p>
    <w:p w14:paraId="03BAA60D">
      <w:pPr>
        <w:spacing w:line="2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通用名称：儿童咳颗粒</w:t>
      </w:r>
    </w:p>
    <w:p w14:paraId="00049713">
      <w:pPr>
        <w:spacing w:line="2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汉语拼音：</w:t>
      </w:r>
    </w:p>
    <w:p w14:paraId="4B2D38F3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成份</w:t>
      </w:r>
      <w:r>
        <w:rPr>
          <w:rFonts w:ascii="宋体" w:hAnsi="宋体"/>
          <w:szCs w:val="21"/>
        </w:rPr>
        <w:t>]</w:t>
      </w:r>
    </w:p>
    <w:p w14:paraId="6C607682">
      <w:pPr>
        <w:spacing w:line="280" w:lineRule="exac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性状</w:t>
      </w:r>
      <w:r>
        <w:rPr>
          <w:rFonts w:ascii="宋体" w:hAnsi="宋体"/>
          <w:szCs w:val="21"/>
        </w:rPr>
        <w:t>]</w:t>
      </w:r>
    </w:p>
    <w:p w14:paraId="4C4E5042">
      <w:pPr>
        <w:spacing w:line="280" w:lineRule="exact"/>
        <w:rPr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/>
          <w:szCs w:val="21"/>
        </w:rPr>
        <w:t>功能主治</w:t>
      </w:r>
      <w:r>
        <w:rPr>
          <w:rFonts w:ascii="宋体" w:hAnsi="宋体"/>
          <w:szCs w:val="21"/>
        </w:rPr>
        <w:t>]</w:t>
      </w:r>
      <w:r>
        <w:rPr>
          <w:rFonts w:hint="eastAsia"/>
          <w:szCs w:val="21"/>
        </w:rPr>
        <w:t>清热润肺，宣降肺气，祛痰止咳。用于咳嗽气喘，吐痰黄稠或咳痰不爽，咽干喉痛，急慢性气管炎。</w:t>
      </w:r>
    </w:p>
    <w:p w14:paraId="2DD6F466">
      <w:pPr>
        <w:spacing w:line="280" w:lineRule="exact"/>
        <w:rPr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/>
          <w:szCs w:val="21"/>
        </w:rPr>
        <w:t>规格</w:t>
      </w:r>
      <w:r>
        <w:rPr>
          <w:rFonts w:ascii="宋体" w:hAnsi="宋体"/>
          <w:szCs w:val="21"/>
        </w:rPr>
        <w:t>]</w:t>
      </w:r>
      <w:r>
        <w:rPr>
          <w:rFonts w:hint="eastAsia"/>
          <w:szCs w:val="21"/>
        </w:rPr>
        <w:t>每袋装4.5克</w:t>
      </w:r>
    </w:p>
    <w:p w14:paraId="73A0502C">
      <w:pPr>
        <w:spacing w:line="280" w:lineRule="exact"/>
        <w:rPr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/>
          <w:szCs w:val="21"/>
        </w:rPr>
        <w:t>用法用量</w:t>
      </w:r>
      <w:r>
        <w:rPr>
          <w:rFonts w:ascii="宋体" w:hAnsi="宋体"/>
          <w:szCs w:val="21"/>
        </w:rPr>
        <w:t>]</w:t>
      </w:r>
      <w:r>
        <w:rPr>
          <w:rFonts w:hint="eastAsia"/>
          <w:szCs w:val="21"/>
        </w:rPr>
        <w:t>温开水冲服。1～3岁一次半袋，4岁以上一次1袋，一日4次。</w:t>
      </w:r>
    </w:p>
    <w:p w14:paraId="1CDCB08A">
      <w:pPr>
        <w:spacing w:line="280" w:lineRule="exact"/>
        <w:rPr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/>
          <w:szCs w:val="21"/>
        </w:rPr>
        <w:t>不良反应</w:t>
      </w:r>
      <w:r>
        <w:rPr>
          <w:rFonts w:ascii="宋体" w:hAnsi="宋体"/>
          <w:szCs w:val="21"/>
        </w:rPr>
        <w:t>]</w:t>
      </w:r>
      <w:r>
        <w:rPr>
          <w:rFonts w:hint="eastAsia" w:ascii="宋体" w:hAnsi="宋体"/>
          <w:szCs w:val="21"/>
        </w:rPr>
        <w:t xml:space="preserve"> 监测数据显示，本制剂可见以下不良反应报告：腹泻、呕吐、腹痛、恶心、皮疹、瘙痒、荨麻疹、潮红等。</w:t>
      </w:r>
    </w:p>
    <w:p w14:paraId="587962AC">
      <w:pPr>
        <w:spacing w:line="0" w:lineRule="atLeast"/>
        <w:rPr>
          <w:b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b/>
          <w:bCs/>
          <w:szCs w:val="21"/>
        </w:rPr>
        <w:t>禁忌</w:t>
      </w:r>
      <w:r>
        <w:rPr>
          <w:rFonts w:ascii="宋体" w:hAnsi="宋体"/>
          <w:szCs w:val="21"/>
        </w:rPr>
        <w:t>]</w:t>
      </w:r>
      <w:r>
        <w:rPr>
          <w:rFonts w:hint="eastAsia"/>
          <w:b/>
        </w:rPr>
        <w:t>对本品及所含成份过敏者禁用。</w:t>
      </w:r>
    </w:p>
    <w:p w14:paraId="1800FBBF">
      <w:pPr>
        <w:spacing w:line="0" w:lineRule="atLeast"/>
        <w:rPr>
          <w:rFonts w:ascii="宋体" w:hAnsi="宋体"/>
          <w:b/>
          <w:bCs/>
          <w:szCs w:val="21"/>
        </w:rPr>
      </w:pPr>
      <w:r>
        <w:rPr>
          <w:rFonts w:ascii="宋体" w:hAnsi="宋体"/>
          <w:b/>
          <w:bCs/>
          <w:szCs w:val="21"/>
        </w:rPr>
        <w:t>[</w:t>
      </w:r>
      <w:r>
        <w:rPr>
          <w:rFonts w:hint="eastAsia" w:ascii="Times" w:hAnsi="Times"/>
          <w:b/>
          <w:bCs/>
          <w:szCs w:val="21"/>
        </w:rPr>
        <w:t>注意事项</w:t>
      </w:r>
      <w:r>
        <w:rPr>
          <w:rFonts w:ascii="宋体" w:hAnsi="宋体"/>
          <w:b/>
          <w:bCs/>
          <w:szCs w:val="21"/>
        </w:rPr>
        <w:t>]</w:t>
      </w:r>
    </w:p>
    <w:p w14:paraId="7148F983">
      <w:pPr>
        <w:spacing w:line="0" w:lineRule="atLeast"/>
        <w:rPr>
          <w:b/>
        </w:rPr>
      </w:pPr>
      <w:r>
        <w:rPr>
          <w:rFonts w:hint="eastAsia"/>
          <w:b/>
        </w:rPr>
        <w:t>1.忌食辛辣、生冷、油腻食物。</w:t>
      </w:r>
    </w:p>
    <w:p w14:paraId="2D7C6E66">
      <w:pPr>
        <w:spacing w:line="0" w:lineRule="atLeast"/>
        <w:rPr>
          <w:b/>
        </w:rPr>
      </w:pPr>
      <w:r>
        <w:rPr>
          <w:rFonts w:hint="eastAsia"/>
          <w:b/>
        </w:rPr>
        <w:t>2.服药期间不宜同时服用滋补性中成药。</w:t>
      </w:r>
    </w:p>
    <w:p w14:paraId="5D64C82F">
      <w:pPr>
        <w:spacing w:line="0" w:lineRule="atLeast"/>
        <w:rPr>
          <w:b/>
        </w:rPr>
      </w:pPr>
      <w:r>
        <w:rPr>
          <w:rFonts w:hint="eastAsia"/>
          <w:b/>
        </w:rPr>
        <w:t>3.阴虚咳嗽者慎服。</w:t>
      </w:r>
    </w:p>
    <w:p w14:paraId="4191D143">
      <w:pPr>
        <w:spacing w:line="0" w:lineRule="atLeast"/>
        <w:rPr>
          <w:b/>
        </w:rPr>
      </w:pPr>
      <w:r>
        <w:rPr>
          <w:rFonts w:hint="eastAsia"/>
          <w:b/>
        </w:rPr>
        <w:t>4</w:t>
      </w:r>
      <w:r>
        <w:rPr>
          <w:b/>
        </w:rPr>
        <w:t>.</w:t>
      </w:r>
      <w:r>
        <w:rPr>
          <w:rFonts w:hint="eastAsia"/>
          <w:b/>
        </w:rPr>
        <w:t>本品含麻黄，运动员慎用。</w:t>
      </w:r>
    </w:p>
    <w:p w14:paraId="4AEBD92F">
      <w:pPr>
        <w:spacing w:line="0" w:lineRule="atLeast"/>
        <w:rPr>
          <w:b/>
        </w:rPr>
      </w:pPr>
      <w:r>
        <w:rPr>
          <w:rFonts w:hint="eastAsia"/>
          <w:b/>
        </w:rPr>
        <w:t>5</w:t>
      </w:r>
      <w:r>
        <w:rPr>
          <w:b/>
        </w:rPr>
        <w:t>.</w:t>
      </w:r>
      <w:r>
        <w:rPr>
          <w:rFonts w:hint="eastAsia"/>
          <w:b/>
        </w:rPr>
        <w:t>按照用法用量服用，本品不宜长期或超量服用。</w:t>
      </w:r>
    </w:p>
    <w:p w14:paraId="46F1F3D3">
      <w:pPr>
        <w:spacing w:line="0" w:lineRule="atLeast"/>
        <w:rPr>
          <w:b/>
        </w:rPr>
      </w:pPr>
      <w:r>
        <w:rPr>
          <w:b/>
        </w:rPr>
        <w:t>6</w:t>
      </w:r>
      <w:r>
        <w:rPr>
          <w:rFonts w:hint="eastAsia"/>
          <w:b/>
        </w:rPr>
        <w:t>.发热体温超过3</w:t>
      </w:r>
      <w:r>
        <w:rPr>
          <w:b/>
        </w:rPr>
        <w:t>8.5</w:t>
      </w:r>
      <w:r>
        <w:rPr>
          <w:rFonts w:hint="eastAsia"/>
          <w:b/>
        </w:rPr>
        <w:t>℃，或喘憋严重，或咳嗽伴有哮鸣音者，应去医院就诊。</w:t>
      </w:r>
    </w:p>
    <w:p w14:paraId="2E4C0309">
      <w:pPr>
        <w:spacing w:line="0" w:lineRule="atLeast"/>
        <w:rPr>
          <w:b/>
        </w:rPr>
      </w:pPr>
      <w:r>
        <w:rPr>
          <w:b/>
        </w:rPr>
        <w:t>7.</w:t>
      </w:r>
      <w:r>
        <w:rPr>
          <w:rFonts w:hint="eastAsia"/>
          <w:b/>
        </w:rPr>
        <w:t>服药期间出现反复发热、持续发热等症状，应去医院就诊。</w:t>
      </w:r>
    </w:p>
    <w:p w14:paraId="0752FFBE">
      <w:pPr>
        <w:spacing w:line="0" w:lineRule="atLeast"/>
        <w:rPr>
          <w:b/>
        </w:rPr>
      </w:pPr>
      <w:r>
        <w:rPr>
          <w:b/>
        </w:rPr>
        <w:t>8</w:t>
      </w:r>
      <w:r>
        <w:rPr>
          <w:rFonts w:hint="eastAsia"/>
          <w:b/>
        </w:rPr>
        <w:t>.服药3天症状无改善，或症状加重，或出现新的严重症状者，应去医院就诊。</w:t>
      </w:r>
    </w:p>
    <w:p w14:paraId="1D42368B">
      <w:pPr>
        <w:spacing w:line="0" w:lineRule="atLeast"/>
        <w:rPr>
          <w:b/>
        </w:rPr>
      </w:pPr>
      <w:r>
        <w:rPr>
          <w:b/>
        </w:rPr>
        <w:t>9</w:t>
      </w:r>
      <w:r>
        <w:rPr>
          <w:rFonts w:hint="eastAsia"/>
          <w:b/>
        </w:rPr>
        <w:t>.本品含有甘草，不宜与含海藻、京大戟、红大戟、甘遂、芫花的中药方剂或成药同时服用。</w:t>
      </w:r>
    </w:p>
    <w:p w14:paraId="5BB0BD05">
      <w:pPr>
        <w:spacing w:line="0" w:lineRule="atLeast"/>
        <w:rPr>
          <w:b/>
        </w:rPr>
      </w:pPr>
      <w:r>
        <w:rPr>
          <w:b/>
        </w:rPr>
        <w:t>10</w:t>
      </w:r>
      <w:r>
        <w:rPr>
          <w:rFonts w:hint="eastAsia"/>
          <w:b/>
        </w:rPr>
        <w:t>. 过敏体质者慎用。</w:t>
      </w:r>
    </w:p>
    <w:p w14:paraId="556ED6FD">
      <w:pPr>
        <w:spacing w:line="0" w:lineRule="atLeast"/>
        <w:rPr>
          <w:b/>
        </w:rPr>
      </w:pPr>
      <w:r>
        <w:rPr>
          <w:b/>
        </w:rPr>
        <w:t>11</w:t>
      </w:r>
      <w:r>
        <w:rPr>
          <w:rFonts w:hint="eastAsia"/>
          <w:b/>
        </w:rPr>
        <w:t>.本品性状发生改变时禁止使用。</w:t>
      </w:r>
    </w:p>
    <w:p w14:paraId="40D8CC86">
      <w:pPr>
        <w:spacing w:line="0" w:lineRule="atLeast"/>
        <w:rPr>
          <w:b/>
        </w:rPr>
      </w:pPr>
      <w:r>
        <w:rPr>
          <w:b/>
        </w:rPr>
        <w:t>12</w:t>
      </w:r>
      <w:r>
        <w:rPr>
          <w:rFonts w:hint="eastAsia"/>
          <w:b/>
        </w:rPr>
        <w:t>.儿童必须在成人监护下使用。</w:t>
      </w:r>
    </w:p>
    <w:p w14:paraId="68EA3432">
      <w:pPr>
        <w:spacing w:line="0" w:lineRule="atLeast"/>
        <w:rPr>
          <w:b/>
        </w:rPr>
      </w:pPr>
      <w:r>
        <w:rPr>
          <w:rFonts w:hint="eastAsia"/>
          <w:b/>
        </w:rPr>
        <w:t>1</w:t>
      </w:r>
      <w:r>
        <w:rPr>
          <w:b/>
        </w:rPr>
        <w:t>3</w:t>
      </w:r>
      <w:r>
        <w:rPr>
          <w:rFonts w:hint="eastAsia"/>
          <w:b/>
        </w:rPr>
        <w:t>.请将本品放在儿童不能接触的地方。</w:t>
      </w:r>
    </w:p>
    <w:p w14:paraId="369E4C43">
      <w:pPr>
        <w:spacing w:line="0" w:lineRule="atLeast"/>
        <w:rPr>
          <w:rFonts w:ascii="Times" w:hAnsi="Times"/>
          <w:b/>
          <w:bCs/>
          <w:szCs w:val="21"/>
        </w:rPr>
      </w:pPr>
      <w:r>
        <w:rPr>
          <w:rFonts w:hint="eastAsia"/>
          <w:b/>
        </w:rPr>
        <w:t>1</w:t>
      </w:r>
      <w:r>
        <w:rPr>
          <w:b/>
        </w:rPr>
        <w:t>4</w:t>
      </w:r>
      <w:r>
        <w:rPr>
          <w:rFonts w:hint="eastAsia"/>
          <w:b/>
        </w:rPr>
        <w:t>.如正在使用其他药品，使用本品前请咨询医师或药师。</w:t>
      </w:r>
    </w:p>
    <w:p w14:paraId="3629EC04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药物相互作用]如与其他药物同时使用可能会发生药物相互作用，详情请咨询医师或药师。</w:t>
      </w:r>
    </w:p>
    <w:p w14:paraId="72607848">
      <w:pPr>
        <w:rPr>
          <w:rFonts w:ascii="宋体" w:hAnsi="宋体"/>
        </w:rPr>
      </w:pPr>
      <w:r>
        <w:rPr>
          <w:rFonts w:ascii="宋体" w:hAnsi="宋体"/>
        </w:rPr>
        <w:t>[</w:t>
      </w:r>
      <w:r>
        <w:rPr>
          <w:rFonts w:hint="eastAsia" w:ascii="宋体" w:hAnsi="宋体"/>
        </w:rPr>
        <w:t>贮藏</w:t>
      </w:r>
      <w:r>
        <w:rPr>
          <w:rFonts w:ascii="宋体" w:hAnsi="宋体"/>
        </w:rPr>
        <w:t xml:space="preserve">] </w:t>
      </w:r>
      <w:r>
        <w:rPr>
          <w:rFonts w:ascii="宋体" w:hAnsi="宋体"/>
        </w:rPr>
        <w:br w:type="textWrapping"/>
      </w:r>
      <w:r>
        <w:rPr>
          <w:rFonts w:ascii="宋体" w:hAnsi="宋体"/>
        </w:rPr>
        <w:t>[</w:t>
      </w:r>
      <w:r>
        <w:rPr>
          <w:rFonts w:hint="eastAsia" w:ascii="宋体" w:hAnsi="宋体"/>
        </w:rPr>
        <w:t>包装</w:t>
      </w:r>
      <w:r>
        <w:rPr>
          <w:rFonts w:ascii="宋体" w:hAnsi="宋体"/>
        </w:rPr>
        <w:t>]</w:t>
      </w:r>
      <w:r>
        <w:rPr>
          <w:rFonts w:ascii="宋体" w:hAnsi="宋体"/>
        </w:rPr>
        <w:br w:type="textWrapping"/>
      </w:r>
      <w:r>
        <w:rPr>
          <w:rFonts w:ascii="宋体" w:hAnsi="宋体"/>
        </w:rPr>
        <w:t>[</w:t>
      </w:r>
      <w:r>
        <w:rPr>
          <w:rFonts w:hint="eastAsia" w:ascii="宋体" w:hAnsi="宋体"/>
        </w:rPr>
        <w:t>有效期</w:t>
      </w:r>
      <w:r>
        <w:rPr>
          <w:rFonts w:ascii="宋体" w:hAnsi="宋体"/>
        </w:rPr>
        <w:t>]</w:t>
      </w:r>
      <w:r>
        <w:rPr>
          <w:rFonts w:ascii="宋体" w:hAnsi="宋体"/>
        </w:rPr>
        <w:br w:type="textWrapping"/>
      </w:r>
      <w:r>
        <w:rPr>
          <w:rFonts w:ascii="宋体" w:hAnsi="宋体"/>
        </w:rPr>
        <w:t>[</w:t>
      </w:r>
      <w:r>
        <w:rPr>
          <w:rFonts w:hint="eastAsia" w:ascii="宋体" w:hAnsi="宋体"/>
        </w:rPr>
        <w:t>执行标准</w:t>
      </w:r>
      <w:r>
        <w:rPr>
          <w:rFonts w:ascii="宋体" w:hAnsi="宋体"/>
        </w:rPr>
        <w:t>]</w:t>
      </w:r>
      <w:r>
        <w:rPr>
          <w:rFonts w:ascii="宋体" w:hAnsi="宋体"/>
        </w:rPr>
        <w:br w:type="textWrapping"/>
      </w:r>
      <w:r>
        <w:rPr>
          <w:rFonts w:ascii="宋体" w:hAnsi="宋体"/>
        </w:rPr>
        <w:t>[</w:t>
      </w:r>
      <w:r>
        <w:rPr>
          <w:rFonts w:hint="eastAsia" w:ascii="宋体" w:hAnsi="宋体"/>
        </w:rPr>
        <w:t>批准文号</w:t>
      </w:r>
      <w:r>
        <w:rPr>
          <w:rFonts w:ascii="宋体" w:hAnsi="宋体"/>
        </w:rPr>
        <w:t>]</w:t>
      </w:r>
      <w:r>
        <w:rPr>
          <w:rFonts w:ascii="宋体" w:hAnsi="宋体"/>
        </w:rPr>
        <w:br w:type="textWrapping"/>
      </w:r>
      <w:r>
        <w:rPr>
          <w:rFonts w:ascii="宋体" w:hAnsi="宋体"/>
        </w:rPr>
        <w:t>[</w:t>
      </w:r>
      <w:r>
        <w:rPr>
          <w:rFonts w:hint="eastAsia" w:ascii="宋体" w:hAnsi="宋体"/>
        </w:rPr>
        <w:t>说明书修订日期</w:t>
      </w:r>
      <w:r>
        <w:rPr>
          <w:rFonts w:ascii="宋体" w:hAnsi="宋体"/>
        </w:rPr>
        <w:t>]</w:t>
      </w:r>
      <w:r>
        <w:rPr>
          <w:rFonts w:ascii="宋体" w:hAnsi="宋体"/>
        </w:rPr>
        <w:br w:type="textWrapping"/>
      </w:r>
      <w:r>
        <w:rPr>
          <w:rFonts w:ascii="宋体" w:hAnsi="宋体"/>
        </w:rPr>
        <w:t>[</w:t>
      </w:r>
      <w:r>
        <w:rPr>
          <w:rFonts w:hint="eastAsia" w:ascii="宋体" w:hAnsi="宋体"/>
        </w:rPr>
        <w:t>药品上市许可持有人</w:t>
      </w:r>
      <w:r>
        <w:rPr>
          <w:rFonts w:ascii="宋体" w:hAnsi="宋体"/>
        </w:rPr>
        <w:t>]</w:t>
      </w:r>
    </w:p>
    <w:p w14:paraId="59C1033C">
      <w:pPr>
        <w:rPr>
          <w:rFonts w:ascii="宋体" w:hAnsi="宋体"/>
        </w:rPr>
      </w:pPr>
      <w:r>
        <w:rPr>
          <w:rFonts w:hint="eastAsia" w:ascii="宋体" w:hAnsi="宋体"/>
        </w:rPr>
        <w:t>名</w:t>
      </w:r>
      <w:r>
        <w:rPr>
          <w:rFonts w:ascii="宋体" w:hAnsi="宋体"/>
        </w:rPr>
        <w:t xml:space="preserve">    </w:t>
      </w:r>
      <w:r>
        <w:rPr>
          <w:rFonts w:hint="eastAsia" w:ascii="宋体" w:hAnsi="宋体"/>
        </w:rPr>
        <w:t>称：</w:t>
      </w:r>
      <w:r>
        <w:rPr>
          <w:rFonts w:ascii="宋体" w:hAnsi="宋体"/>
        </w:rPr>
        <w:t xml:space="preserve"> </w:t>
      </w:r>
      <w:r>
        <w:rPr>
          <w:rFonts w:ascii="宋体" w:hAnsi="宋体"/>
        </w:rPr>
        <w:br w:type="textWrapping"/>
      </w:r>
      <w:r>
        <w:rPr>
          <w:rFonts w:hint="eastAsia" w:ascii="宋体" w:hAnsi="宋体"/>
        </w:rPr>
        <w:t>注册地址：</w:t>
      </w:r>
      <w:r>
        <w:rPr>
          <w:rFonts w:ascii="宋体" w:hAnsi="宋体"/>
        </w:rPr>
        <w:br w:type="textWrapping"/>
      </w:r>
      <w:r>
        <w:rPr>
          <w:rFonts w:hint="eastAsia" w:ascii="宋体" w:hAnsi="宋体"/>
        </w:rPr>
        <w:t>邮政编码：</w:t>
      </w:r>
      <w:r>
        <w:rPr>
          <w:rFonts w:ascii="宋体" w:hAnsi="宋体"/>
        </w:rPr>
        <w:br w:type="textWrapping"/>
      </w:r>
      <w:r>
        <w:rPr>
          <w:rFonts w:hint="eastAsia" w:ascii="宋体" w:hAnsi="宋体"/>
        </w:rPr>
        <w:t>电话号码：</w:t>
      </w:r>
      <w:r>
        <w:rPr>
          <w:rFonts w:ascii="宋体" w:hAnsi="宋体"/>
        </w:rPr>
        <w:br w:type="textWrapping"/>
      </w:r>
      <w:r>
        <w:rPr>
          <w:rFonts w:hint="eastAsia" w:ascii="宋体" w:hAnsi="宋体"/>
        </w:rPr>
        <w:t>传真号码：</w:t>
      </w:r>
      <w:r>
        <w:rPr>
          <w:rFonts w:ascii="宋体" w:hAnsi="宋体"/>
        </w:rPr>
        <w:br w:type="textWrapping"/>
      </w:r>
      <w:r>
        <w:rPr>
          <w:rFonts w:hint="eastAsia" w:ascii="宋体" w:hAnsi="宋体"/>
        </w:rPr>
        <w:t>网</w:t>
      </w:r>
      <w:r>
        <w:rPr>
          <w:rFonts w:ascii="宋体" w:hAnsi="宋体"/>
        </w:rPr>
        <w:t xml:space="preserve">    </w:t>
      </w:r>
      <w:r>
        <w:rPr>
          <w:rFonts w:hint="eastAsia" w:ascii="宋体" w:hAnsi="宋体"/>
        </w:rPr>
        <w:t>址：</w:t>
      </w:r>
    </w:p>
    <w:p w14:paraId="41EC828B">
      <w:pPr>
        <w:rPr>
          <w:rFonts w:ascii="宋体" w:hAnsi="宋体"/>
          <w:b/>
          <w:bCs/>
        </w:rPr>
      </w:pPr>
      <w:r>
        <w:rPr>
          <w:rFonts w:ascii="宋体" w:hAnsi="宋体"/>
        </w:rPr>
        <w:t>[</w:t>
      </w:r>
      <w:r>
        <w:rPr>
          <w:rFonts w:hint="eastAsia" w:ascii="宋体" w:hAnsi="宋体"/>
        </w:rPr>
        <w:t>生产企业</w:t>
      </w:r>
      <w:r>
        <w:rPr>
          <w:rFonts w:ascii="宋体" w:hAnsi="宋体"/>
        </w:rPr>
        <w:t>]</w:t>
      </w:r>
      <w:r>
        <w:rPr>
          <w:rFonts w:ascii="宋体" w:hAnsi="宋体"/>
        </w:rPr>
        <w:br w:type="textWrapping"/>
      </w:r>
      <w:r>
        <w:rPr>
          <w:rFonts w:hint="eastAsia" w:ascii="宋体" w:hAnsi="宋体"/>
        </w:rPr>
        <w:t>企业名称：</w:t>
      </w:r>
      <w:r>
        <w:rPr>
          <w:rFonts w:ascii="宋体" w:hAnsi="宋体"/>
        </w:rPr>
        <w:t xml:space="preserve"> </w:t>
      </w:r>
      <w:r>
        <w:rPr>
          <w:rFonts w:ascii="宋体" w:hAnsi="宋体"/>
        </w:rPr>
        <w:br w:type="textWrapping"/>
      </w:r>
      <w:r>
        <w:rPr>
          <w:rFonts w:hint="eastAsia" w:ascii="宋体" w:hAnsi="宋体"/>
        </w:rPr>
        <w:t>生产地址：</w:t>
      </w:r>
      <w:r>
        <w:rPr>
          <w:rFonts w:ascii="宋体" w:hAnsi="宋体"/>
        </w:rPr>
        <w:br w:type="textWrapping"/>
      </w:r>
      <w:r>
        <w:rPr>
          <w:rFonts w:hint="eastAsia" w:ascii="宋体" w:hAnsi="宋体"/>
          <w:b/>
          <w:bCs/>
        </w:rPr>
        <w:t>如有问题可与药品上市许可持有人联系。</w:t>
      </w:r>
    </w:p>
    <w:p w14:paraId="036B4E3B">
      <w:pPr>
        <w:rPr>
          <w:rFonts w:ascii="宋体" w:hAnsi="宋体"/>
          <w:b/>
          <w:bCs/>
        </w:rPr>
      </w:pPr>
    </w:p>
    <w:p w14:paraId="46FE1666">
      <w:pPr>
        <w:rPr>
          <w:rFonts w:ascii="宋体" w:hAnsi="宋体"/>
          <w:b/>
          <w:bCs/>
        </w:rPr>
      </w:pPr>
    </w:p>
    <w:p w14:paraId="6823E1BE">
      <w:pPr>
        <w:rPr>
          <w:rFonts w:ascii="Calibri" w:hAnsi="Calibri"/>
          <w:color w:val="000000"/>
          <w:szCs w:val="22"/>
        </w:rPr>
      </w:pPr>
      <w:r>
        <w:rPr>
          <w:rFonts w:hint="eastAsia" w:ascii="Calibri" w:hAnsi="Calibri"/>
          <w:color w:val="000000"/>
          <w:szCs w:val="21"/>
        </w:rPr>
        <w:t>（注：本说明书范本原则上不得删减，如原批准说明书的安全性内容较本范本内容更全面或者更严格的，应当保留原批准内容。）</w:t>
      </w:r>
    </w:p>
    <w:p w14:paraId="1E7C101E"/>
    <w:p w14:paraId="01372BF0">
      <w:pPr>
        <w:tabs>
          <w:tab w:val="left" w:pos="312"/>
        </w:tabs>
        <w:rPr>
          <w:rFonts w:eastAsia="黑体"/>
          <w:sz w:val="32"/>
          <w:szCs w:val="32"/>
        </w:rPr>
      </w:pPr>
    </w:p>
    <w:p w14:paraId="526185E1">
      <w:pPr>
        <w:keepNext/>
        <w:keepLines/>
        <w:spacing w:before="260" w:after="260" w:line="408" w:lineRule="auto"/>
        <w:jc w:val="center"/>
        <w:outlineLvl w:val="1"/>
        <w:rPr>
          <w:rFonts w:ascii="宋体" w:hAnsi="宋体" w:cs="宋体"/>
          <w:b/>
          <w:color w:val="000000"/>
          <w:sz w:val="30"/>
          <w:szCs w:val="20"/>
        </w:rPr>
      </w:pPr>
      <w:r>
        <w:rPr>
          <w:rFonts w:hint="eastAsia" w:ascii="宋体" w:hAnsi="宋体" w:cs="宋体"/>
          <w:b/>
          <w:color w:val="000000"/>
          <w:sz w:val="30"/>
          <w:szCs w:val="20"/>
        </w:rPr>
        <w:br w:type="page"/>
      </w:r>
      <w:r>
        <w:rPr>
          <w:rFonts w:hint="eastAsia" w:ascii="宋体" w:hAnsi="宋体" w:cs="宋体"/>
          <w:b/>
          <w:color w:val="000000"/>
          <w:sz w:val="30"/>
          <w:szCs w:val="20"/>
        </w:rPr>
        <w:t>人知降糖胶囊说明书</w:t>
      </w:r>
    </w:p>
    <w:p w14:paraId="0946320A">
      <w:pPr>
        <w:spacing w:line="300" w:lineRule="exact"/>
        <w:jc w:val="center"/>
        <w:rPr>
          <w:rFonts w:ascii="宋体" w:hAnsi="宋体"/>
          <w:b/>
        </w:rPr>
      </w:pPr>
      <w:r>
        <w:rPr>
          <w:rFonts w:hint="eastAsia" w:ascii="宋体" w:hAnsi="宋体"/>
          <w:b/>
        </w:rPr>
        <w:t>请仔细阅读说明书并按说明使用或在药师指导下购买和使用</w:t>
      </w:r>
    </w:p>
    <w:p w14:paraId="02DABDAF">
      <w:pPr>
        <w:spacing w:line="300" w:lineRule="exact"/>
        <w:jc w:val="center"/>
        <w:rPr>
          <w:rFonts w:ascii="宋体" w:hAnsi="宋体"/>
          <w:b/>
        </w:rPr>
      </w:pPr>
      <w:r>
        <w:rPr>
          <w:rFonts w:hint="eastAsia" w:ascii="宋体" w:hAnsi="宋体"/>
          <w:b/>
        </w:rPr>
        <w:t>本品仅为Ⅱ型糖尿病的辅助治疗药品，应当在医师确诊后使用，不可替代治疗用药品</w:t>
      </w:r>
    </w:p>
    <w:p w14:paraId="5DCFE8CB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药品名称</w:t>
      </w:r>
      <w:r>
        <w:rPr>
          <w:rFonts w:ascii="宋体" w:hAnsi="宋体"/>
          <w:szCs w:val="21"/>
        </w:rPr>
        <w:t>]</w:t>
      </w:r>
    </w:p>
    <w:p w14:paraId="4E5AFA20">
      <w:pPr>
        <w:spacing w:line="2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通用名称：人知降糖胶囊</w:t>
      </w:r>
    </w:p>
    <w:p w14:paraId="65129DE0">
      <w:pPr>
        <w:spacing w:line="2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汉语拼音：</w:t>
      </w:r>
    </w:p>
    <w:p w14:paraId="132A4ADD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成份</w:t>
      </w:r>
      <w:r>
        <w:rPr>
          <w:rFonts w:ascii="宋体" w:hAnsi="宋体"/>
          <w:szCs w:val="21"/>
        </w:rPr>
        <w:t>]</w:t>
      </w:r>
    </w:p>
    <w:p w14:paraId="41ABD8AE">
      <w:pPr>
        <w:spacing w:line="280" w:lineRule="exac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性状</w:t>
      </w:r>
      <w:r>
        <w:rPr>
          <w:rFonts w:ascii="宋体" w:hAnsi="宋体"/>
          <w:szCs w:val="21"/>
        </w:rPr>
        <w:t>]</w:t>
      </w:r>
    </w:p>
    <w:p w14:paraId="60B64FAD">
      <w:pPr>
        <w:spacing w:line="280" w:lineRule="exact"/>
        <w:rPr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/>
          <w:szCs w:val="21"/>
        </w:rPr>
        <w:t>功能主治</w:t>
      </w:r>
      <w:r>
        <w:rPr>
          <w:rFonts w:ascii="宋体" w:hAnsi="宋体"/>
          <w:szCs w:val="21"/>
        </w:rPr>
        <w:t>]</w:t>
      </w:r>
      <w:r>
        <w:rPr>
          <w:rFonts w:hint="eastAsia"/>
          <w:szCs w:val="21"/>
        </w:rPr>
        <w:t>益气养阴，清热生津。用于Ⅱ型糖尿病属气阴两虚兼燥热伤津证的辅助治疗，缓解以下症状：倦怠乏力，气短懒言，口干口渴，五心烦热，自汗盗汗，多食易饥，便秘溲赤，心悸失眠，腰酸不适等。</w:t>
      </w:r>
    </w:p>
    <w:p w14:paraId="22DB213E">
      <w:pPr>
        <w:spacing w:line="280" w:lineRule="exact"/>
        <w:rPr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/>
          <w:szCs w:val="21"/>
        </w:rPr>
        <w:t>规格</w:t>
      </w:r>
      <w:r>
        <w:rPr>
          <w:rFonts w:ascii="宋体" w:hAnsi="宋体"/>
          <w:szCs w:val="21"/>
        </w:rPr>
        <w:t>]</w:t>
      </w:r>
      <w:r>
        <w:rPr>
          <w:rFonts w:hint="eastAsia"/>
          <w:szCs w:val="21"/>
        </w:rPr>
        <w:t>每粒装0.4克（相当于饮片0.40克）</w:t>
      </w:r>
    </w:p>
    <w:p w14:paraId="6131F036">
      <w:pPr>
        <w:spacing w:line="280" w:lineRule="exact"/>
        <w:rPr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/>
          <w:szCs w:val="21"/>
        </w:rPr>
        <w:t>用法用量</w:t>
      </w:r>
      <w:r>
        <w:rPr>
          <w:rFonts w:ascii="宋体" w:hAnsi="宋体"/>
          <w:szCs w:val="21"/>
        </w:rPr>
        <w:t>]</w:t>
      </w:r>
      <w:r>
        <w:rPr>
          <w:rFonts w:hint="eastAsia"/>
          <w:szCs w:val="21"/>
        </w:rPr>
        <w:t>温开水送服。一次5粒，一日3次，疗程8周。</w:t>
      </w:r>
    </w:p>
    <w:p w14:paraId="21C878AE">
      <w:pPr>
        <w:spacing w:line="280" w:lineRule="exact"/>
        <w:rPr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/>
          <w:szCs w:val="21"/>
        </w:rPr>
        <w:t>不良反应</w:t>
      </w:r>
      <w:r>
        <w:rPr>
          <w:rFonts w:ascii="宋体" w:hAnsi="宋体"/>
          <w:szCs w:val="21"/>
        </w:rPr>
        <w:t>]</w:t>
      </w:r>
      <w:r>
        <w:rPr>
          <w:rFonts w:hint="eastAsia" w:ascii="宋体" w:hAnsi="宋体"/>
          <w:szCs w:val="21"/>
        </w:rPr>
        <w:t>监测数据显示，</w:t>
      </w:r>
      <w:r>
        <w:rPr>
          <w:rFonts w:hint="eastAsia" w:cs="微软雅黑"/>
        </w:rPr>
        <w:t>本品可见以下不良反应：恶心、呕吐、头晕等。</w:t>
      </w:r>
    </w:p>
    <w:p w14:paraId="30FB8221">
      <w:pPr>
        <w:spacing w:line="0" w:lineRule="atLeast"/>
        <w:rPr>
          <w:rFonts w:ascii="Times" w:hAnsi="Times"/>
          <w:b/>
          <w:bCs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b/>
          <w:bCs/>
          <w:szCs w:val="21"/>
        </w:rPr>
        <w:t>禁忌</w:t>
      </w:r>
      <w:r>
        <w:rPr>
          <w:rFonts w:ascii="宋体" w:hAnsi="宋体"/>
          <w:szCs w:val="21"/>
        </w:rPr>
        <w:t>]</w:t>
      </w:r>
    </w:p>
    <w:p w14:paraId="07EF4955">
      <w:pPr>
        <w:spacing w:line="0" w:lineRule="atLeast"/>
        <w:rPr>
          <w:b/>
        </w:rPr>
      </w:pPr>
      <w:r>
        <w:rPr>
          <w:rFonts w:hint="eastAsia"/>
          <w:b/>
        </w:rPr>
        <w:t>1.</w:t>
      </w:r>
      <w:r>
        <w:rPr>
          <w:b/>
        </w:rPr>
        <w:t xml:space="preserve"> </w:t>
      </w:r>
      <w:r>
        <w:rPr>
          <w:rFonts w:hint="eastAsia"/>
          <w:b/>
        </w:rPr>
        <w:t>孕妇禁用。</w:t>
      </w:r>
    </w:p>
    <w:p w14:paraId="3CDB4BD0">
      <w:pPr>
        <w:spacing w:line="0" w:lineRule="atLeast"/>
        <w:rPr>
          <w:b/>
        </w:rPr>
      </w:pPr>
      <w:r>
        <w:rPr>
          <w:rFonts w:hint="eastAsia"/>
          <w:b/>
        </w:rPr>
        <w:t>2.</w:t>
      </w:r>
      <w:r>
        <w:rPr>
          <w:b/>
        </w:rPr>
        <w:t xml:space="preserve"> </w:t>
      </w:r>
      <w:r>
        <w:rPr>
          <w:rFonts w:hint="eastAsia"/>
          <w:b/>
        </w:rPr>
        <w:t>低血糖患者禁用。</w:t>
      </w:r>
    </w:p>
    <w:p w14:paraId="2016A7FB">
      <w:pPr>
        <w:spacing w:line="0" w:lineRule="atLeast"/>
        <w:rPr>
          <w:b/>
        </w:rPr>
      </w:pPr>
      <w:r>
        <w:rPr>
          <w:rFonts w:hint="eastAsia"/>
          <w:b/>
        </w:rPr>
        <w:t>3</w:t>
      </w:r>
      <w:r>
        <w:rPr>
          <w:b/>
        </w:rPr>
        <w:t>.</w:t>
      </w:r>
      <w:r>
        <w:rPr>
          <w:rFonts w:hint="eastAsia"/>
          <w:b/>
        </w:rPr>
        <w:t xml:space="preserve"> 对本品及所含成份过敏者禁用。</w:t>
      </w:r>
    </w:p>
    <w:p w14:paraId="63A5B7A7">
      <w:pPr>
        <w:spacing w:line="0" w:lineRule="atLeast"/>
        <w:rPr>
          <w:rFonts w:ascii="宋体" w:hAnsi="宋体"/>
          <w:b/>
          <w:bCs/>
          <w:szCs w:val="21"/>
        </w:rPr>
      </w:pPr>
      <w:r>
        <w:rPr>
          <w:rFonts w:ascii="宋体" w:hAnsi="宋体"/>
          <w:b/>
          <w:bCs/>
          <w:szCs w:val="21"/>
        </w:rPr>
        <w:t>[</w:t>
      </w:r>
      <w:r>
        <w:rPr>
          <w:rFonts w:hint="eastAsia" w:ascii="Times" w:hAnsi="Times"/>
          <w:b/>
          <w:bCs/>
          <w:szCs w:val="21"/>
        </w:rPr>
        <w:t>注意事项</w:t>
      </w:r>
      <w:r>
        <w:rPr>
          <w:rFonts w:ascii="宋体" w:hAnsi="宋体"/>
          <w:b/>
          <w:bCs/>
          <w:szCs w:val="21"/>
        </w:rPr>
        <w:t>]</w:t>
      </w:r>
    </w:p>
    <w:p w14:paraId="39CF577B">
      <w:pPr>
        <w:spacing w:line="0" w:lineRule="atLeast"/>
        <w:rPr>
          <w:b/>
        </w:rPr>
      </w:pPr>
      <w:r>
        <w:rPr>
          <w:rFonts w:hint="eastAsia"/>
          <w:b/>
        </w:rPr>
        <w:t>1</w:t>
      </w:r>
      <w:r>
        <w:rPr>
          <w:b/>
        </w:rPr>
        <w:t xml:space="preserve">. </w:t>
      </w:r>
      <w:r>
        <w:rPr>
          <w:rFonts w:hint="eastAsia"/>
          <w:b/>
        </w:rPr>
        <w:t>服药期间忌食辛辣、</w:t>
      </w:r>
      <w:r>
        <w:rPr>
          <w:rFonts w:hint="eastAsia" w:ascii="Times" w:hAnsi="Times"/>
          <w:b/>
          <w:bCs/>
          <w:szCs w:val="21"/>
        </w:rPr>
        <w:t>肥甘油腻之物。忌高糖饮食。</w:t>
      </w:r>
    </w:p>
    <w:p w14:paraId="3DD6E49D">
      <w:pPr>
        <w:spacing w:line="0" w:lineRule="atLeast"/>
        <w:rPr>
          <w:b/>
        </w:rPr>
      </w:pPr>
      <w:r>
        <w:rPr>
          <w:rFonts w:hint="eastAsia"/>
          <w:b/>
        </w:rPr>
        <w:t>2</w:t>
      </w:r>
      <w:r>
        <w:rPr>
          <w:b/>
        </w:rPr>
        <w:t xml:space="preserve">. </w:t>
      </w:r>
      <w:r>
        <w:rPr>
          <w:rFonts w:hint="eastAsia"/>
          <w:b/>
        </w:rPr>
        <w:t>本品仅为Ⅱ型糖尿病的辅助治疗药品，应当在医师确诊后使用，不可替代治疗用药品。</w:t>
      </w:r>
    </w:p>
    <w:p w14:paraId="49B9D2B4">
      <w:pPr>
        <w:spacing w:line="0" w:lineRule="atLeast"/>
        <w:rPr>
          <w:b/>
        </w:rPr>
      </w:pPr>
      <w:r>
        <w:rPr>
          <w:b/>
        </w:rPr>
        <w:t xml:space="preserve">3. </w:t>
      </w:r>
      <w:r>
        <w:rPr>
          <w:rFonts w:hint="eastAsia"/>
          <w:b/>
        </w:rPr>
        <w:t>第一次使用本品前应当咨询医师，治疗期间应当定期到医院进行检查。</w:t>
      </w:r>
    </w:p>
    <w:p w14:paraId="65BE0CBB">
      <w:pPr>
        <w:spacing w:line="0" w:lineRule="atLeast"/>
        <w:rPr>
          <w:b/>
        </w:rPr>
      </w:pPr>
      <w:r>
        <w:rPr>
          <w:rFonts w:hint="eastAsia"/>
          <w:b/>
        </w:rPr>
        <w:t>4</w:t>
      </w:r>
      <w:r>
        <w:rPr>
          <w:b/>
        </w:rPr>
        <w:t xml:space="preserve">. </w:t>
      </w:r>
      <w:r>
        <w:rPr>
          <w:rFonts w:hint="eastAsia"/>
          <w:b/>
        </w:rPr>
        <w:t>按照用法用量服用，如确需长期用药，服用前应当咨询医师。</w:t>
      </w:r>
    </w:p>
    <w:p w14:paraId="49289ABF">
      <w:pPr>
        <w:spacing w:line="0" w:lineRule="atLeast"/>
        <w:rPr>
          <w:b/>
        </w:rPr>
      </w:pPr>
      <w:r>
        <w:rPr>
          <w:b/>
        </w:rPr>
        <w:t xml:space="preserve">5. </w:t>
      </w:r>
      <w:r>
        <w:rPr>
          <w:rFonts w:hint="eastAsia"/>
          <w:b/>
        </w:rPr>
        <w:t>感冒发热、湿热内盛者慎用。</w:t>
      </w:r>
    </w:p>
    <w:p w14:paraId="31ECE679">
      <w:pPr>
        <w:spacing w:line="0" w:lineRule="atLeast"/>
        <w:rPr>
          <w:rFonts w:ascii="Times" w:hAnsi="Times"/>
          <w:b/>
          <w:bCs/>
          <w:szCs w:val="21"/>
        </w:rPr>
      </w:pPr>
      <w:r>
        <w:rPr>
          <w:b/>
        </w:rPr>
        <w:t xml:space="preserve">6. </w:t>
      </w:r>
      <w:r>
        <w:rPr>
          <w:rFonts w:hint="eastAsia" w:ascii="Times" w:hAnsi="Times"/>
          <w:b/>
          <w:bCs/>
          <w:szCs w:val="21"/>
        </w:rPr>
        <w:t>高血压、心脏病、肝病、肾病等患者应在医师指导下服用。</w:t>
      </w:r>
    </w:p>
    <w:p w14:paraId="21E4625B">
      <w:pPr>
        <w:spacing w:line="0" w:lineRule="atLeast"/>
        <w:rPr>
          <w:rFonts w:ascii="Times" w:hAnsi="Times"/>
          <w:b/>
          <w:bCs/>
          <w:szCs w:val="21"/>
        </w:rPr>
      </w:pPr>
      <w:r>
        <w:rPr>
          <w:rFonts w:hint="eastAsia" w:ascii="Times" w:hAnsi="Times"/>
          <w:b/>
          <w:bCs/>
          <w:szCs w:val="21"/>
        </w:rPr>
        <w:t>7</w:t>
      </w:r>
      <w:r>
        <w:rPr>
          <w:rFonts w:ascii="Times" w:hAnsi="Times"/>
          <w:b/>
          <w:bCs/>
          <w:szCs w:val="21"/>
        </w:rPr>
        <w:t xml:space="preserve">. </w:t>
      </w:r>
      <w:r>
        <w:rPr>
          <w:rFonts w:hint="eastAsia" w:ascii="Times" w:hAnsi="Times"/>
          <w:b/>
          <w:bCs/>
          <w:szCs w:val="21"/>
        </w:rPr>
        <w:t>哺乳期妇女、年老体弱者应在医师指导下服用。</w:t>
      </w:r>
    </w:p>
    <w:p w14:paraId="660ADFB5">
      <w:pPr>
        <w:spacing w:line="0" w:lineRule="atLeast"/>
        <w:rPr>
          <w:b/>
        </w:rPr>
      </w:pPr>
      <w:r>
        <w:rPr>
          <w:rFonts w:ascii="Times" w:hAnsi="Times"/>
          <w:b/>
          <w:bCs/>
          <w:szCs w:val="21"/>
        </w:rPr>
        <w:t>8.</w:t>
      </w:r>
      <w:r>
        <w:rPr>
          <w:rFonts w:hint="eastAsia"/>
          <w:b/>
        </w:rPr>
        <w:t xml:space="preserve"> 服药期间应当定期监测血糖水平，若血糖控制不佳，或出现低血糖时，应停药并去医院就诊。</w:t>
      </w:r>
    </w:p>
    <w:p w14:paraId="7B18ACDE">
      <w:pPr>
        <w:spacing w:line="0" w:lineRule="atLeast"/>
        <w:rPr>
          <w:b/>
        </w:rPr>
      </w:pPr>
      <w:r>
        <w:rPr>
          <w:b/>
        </w:rPr>
        <w:t xml:space="preserve">9. </w:t>
      </w:r>
      <w:r>
        <w:rPr>
          <w:rFonts w:hint="eastAsia"/>
          <w:b/>
        </w:rPr>
        <w:t>若血糖水平较高，伴有持续呕吐、体重快速下降、视物模糊、脱水等症状，应去医院就诊。</w:t>
      </w:r>
    </w:p>
    <w:p w14:paraId="65F24923">
      <w:pPr>
        <w:spacing w:line="0" w:lineRule="atLeast"/>
        <w:rPr>
          <w:b/>
        </w:rPr>
      </w:pPr>
      <w:r>
        <w:rPr>
          <w:b/>
        </w:rPr>
        <w:t xml:space="preserve">10. </w:t>
      </w:r>
      <w:r>
        <w:rPr>
          <w:rFonts w:hint="eastAsia" w:ascii="Times" w:hAnsi="Times"/>
          <w:b/>
          <w:bCs/>
          <w:szCs w:val="21"/>
        </w:rPr>
        <w:t>服药期间症状无缓解，或症状加重，或出现新的严重症状，</w:t>
      </w:r>
      <w:r>
        <w:rPr>
          <w:rFonts w:hint="eastAsia"/>
          <w:b/>
        </w:rPr>
        <w:t>如胸闷、心悸等，应停药并去医院就诊。</w:t>
      </w:r>
    </w:p>
    <w:p w14:paraId="5A86D578">
      <w:pPr>
        <w:spacing w:line="0" w:lineRule="atLeast"/>
        <w:rPr>
          <w:b/>
        </w:rPr>
      </w:pPr>
      <w:r>
        <w:rPr>
          <w:rFonts w:hint="eastAsia"/>
          <w:b/>
        </w:rPr>
        <w:t>1</w:t>
      </w:r>
      <w:r>
        <w:rPr>
          <w:b/>
        </w:rPr>
        <w:t>1.</w:t>
      </w:r>
      <w:r>
        <w:rPr>
          <w:rFonts w:hint="eastAsia"/>
          <w:b/>
        </w:rPr>
        <w:t xml:space="preserve"> 本品含人参、玄参、北沙参、天花粉，不宜与含藜芦、五灵脂、川乌、</w:t>
      </w:r>
      <w:r>
        <w:rPr>
          <w:rFonts w:hint="eastAsia" w:ascii="Times" w:hAnsi="Times"/>
          <w:b/>
          <w:bCs/>
          <w:szCs w:val="21"/>
        </w:rPr>
        <w:t>制川乌、</w:t>
      </w:r>
      <w:r>
        <w:rPr>
          <w:rFonts w:hint="eastAsia"/>
          <w:b/>
        </w:rPr>
        <w:t>草乌、制草乌、附子的中药方剂或成药同时服用。</w:t>
      </w:r>
    </w:p>
    <w:p w14:paraId="6F4BCBC8">
      <w:pPr>
        <w:spacing w:line="0" w:lineRule="atLeast"/>
        <w:rPr>
          <w:b/>
        </w:rPr>
      </w:pPr>
      <w:r>
        <w:rPr>
          <w:b/>
        </w:rPr>
        <w:t>12.</w:t>
      </w:r>
      <w:r>
        <w:rPr>
          <w:rFonts w:hint="eastAsia"/>
          <w:b/>
        </w:rPr>
        <w:t xml:space="preserve"> 过敏体质者慎用。</w:t>
      </w:r>
    </w:p>
    <w:p w14:paraId="078E6DBF">
      <w:pPr>
        <w:spacing w:line="0" w:lineRule="atLeast"/>
        <w:rPr>
          <w:b/>
        </w:rPr>
      </w:pPr>
      <w:r>
        <w:rPr>
          <w:b/>
        </w:rPr>
        <w:t xml:space="preserve">13. </w:t>
      </w:r>
      <w:r>
        <w:rPr>
          <w:rFonts w:hint="eastAsia"/>
          <w:b/>
        </w:rPr>
        <w:t>本品性状发生改变时禁止使用。</w:t>
      </w:r>
    </w:p>
    <w:p w14:paraId="5FC9433C">
      <w:pPr>
        <w:spacing w:line="0" w:lineRule="atLeast"/>
        <w:rPr>
          <w:b/>
        </w:rPr>
      </w:pPr>
      <w:r>
        <w:rPr>
          <w:b/>
        </w:rPr>
        <w:t xml:space="preserve">14. </w:t>
      </w:r>
      <w:r>
        <w:rPr>
          <w:rFonts w:hint="eastAsia"/>
          <w:b/>
        </w:rPr>
        <w:t>请将本品放在儿童不能接触的地方。</w:t>
      </w:r>
    </w:p>
    <w:p w14:paraId="44308544">
      <w:pPr>
        <w:spacing w:line="0" w:lineRule="atLeast"/>
        <w:rPr>
          <w:rFonts w:ascii="Times" w:hAnsi="Times"/>
          <w:b/>
          <w:bCs/>
          <w:szCs w:val="21"/>
        </w:rPr>
      </w:pPr>
      <w:r>
        <w:rPr>
          <w:b/>
        </w:rPr>
        <w:t xml:space="preserve">15. </w:t>
      </w:r>
      <w:r>
        <w:rPr>
          <w:rFonts w:hint="eastAsia"/>
          <w:b/>
        </w:rPr>
        <w:t>如正在使用其他药品，使用本品前请咨询医师或药师。</w:t>
      </w:r>
    </w:p>
    <w:p w14:paraId="708CF7CE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药物相互作用]如与其他药物同时使用可能会发生药物相互作用，详情请咨询医师或药师。</w:t>
      </w:r>
    </w:p>
    <w:p w14:paraId="5D2390BC">
      <w:pPr>
        <w:rPr>
          <w:rFonts w:ascii="宋体" w:hAnsi="宋体"/>
        </w:rPr>
      </w:pPr>
      <w:r>
        <w:rPr>
          <w:rFonts w:ascii="宋体" w:hAnsi="宋体"/>
        </w:rPr>
        <w:t>[</w:t>
      </w:r>
      <w:r>
        <w:rPr>
          <w:rFonts w:hint="eastAsia" w:ascii="宋体" w:hAnsi="宋体"/>
        </w:rPr>
        <w:t>贮藏</w:t>
      </w:r>
      <w:r>
        <w:rPr>
          <w:rFonts w:ascii="宋体" w:hAnsi="宋体"/>
        </w:rPr>
        <w:t xml:space="preserve">] </w:t>
      </w:r>
      <w:r>
        <w:rPr>
          <w:rFonts w:ascii="宋体" w:hAnsi="宋体"/>
        </w:rPr>
        <w:br w:type="textWrapping"/>
      </w:r>
      <w:r>
        <w:rPr>
          <w:rFonts w:ascii="宋体" w:hAnsi="宋体"/>
        </w:rPr>
        <w:t>[</w:t>
      </w:r>
      <w:r>
        <w:rPr>
          <w:rFonts w:hint="eastAsia" w:ascii="宋体" w:hAnsi="宋体"/>
        </w:rPr>
        <w:t>包装</w:t>
      </w:r>
      <w:r>
        <w:rPr>
          <w:rFonts w:ascii="宋体" w:hAnsi="宋体"/>
        </w:rPr>
        <w:t>]</w:t>
      </w:r>
      <w:r>
        <w:rPr>
          <w:rFonts w:ascii="宋体" w:hAnsi="宋体"/>
        </w:rPr>
        <w:br w:type="textWrapping"/>
      </w:r>
      <w:r>
        <w:rPr>
          <w:rFonts w:ascii="宋体" w:hAnsi="宋体"/>
        </w:rPr>
        <w:t>[</w:t>
      </w:r>
      <w:r>
        <w:rPr>
          <w:rFonts w:hint="eastAsia" w:ascii="宋体" w:hAnsi="宋体"/>
        </w:rPr>
        <w:t>有效期</w:t>
      </w:r>
      <w:r>
        <w:rPr>
          <w:rFonts w:ascii="宋体" w:hAnsi="宋体"/>
        </w:rPr>
        <w:t>]</w:t>
      </w:r>
      <w:r>
        <w:rPr>
          <w:rFonts w:ascii="宋体" w:hAnsi="宋体"/>
        </w:rPr>
        <w:br w:type="textWrapping"/>
      </w:r>
      <w:r>
        <w:rPr>
          <w:rFonts w:ascii="宋体" w:hAnsi="宋体"/>
        </w:rPr>
        <w:t>[</w:t>
      </w:r>
      <w:r>
        <w:rPr>
          <w:rFonts w:hint="eastAsia" w:ascii="宋体" w:hAnsi="宋体"/>
        </w:rPr>
        <w:t>执行标准</w:t>
      </w:r>
      <w:r>
        <w:rPr>
          <w:rFonts w:ascii="宋体" w:hAnsi="宋体"/>
        </w:rPr>
        <w:t>]</w:t>
      </w:r>
      <w:r>
        <w:rPr>
          <w:rFonts w:ascii="宋体" w:hAnsi="宋体"/>
        </w:rPr>
        <w:br w:type="textWrapping"/>
      </w:r>
      <w:r>
        <w:rPr>
          <w:rFonts w:ascii="宋体" w:hAnsi="宋体"/>
        </w:rPr>
        <w:t>[</w:t>
      </w:r>
      <w:r>
        <w:rPr>
          <w:rFonts w:hint="eastAsia" w:ascii="宋体" w:hAnsi="宋体"/>
        </w:rPr>
        <w:t>批准文号</w:t>
      </w:r>
      <w:r>
        <w:rPr>
          <w:rFonts w:ascii="宋体" w:hAnsi="宋体"/>
        </w:rPr>
        <w:t>]</w:t>
      </w:r>
      <w:r>
        <w:rPr>
          <w:rFonts w:ascii="宋体" w:hAnsi="宋体"/>
        </w:rPr>
        <w:br w:type="textWrapping"/>
      </w:r>
      <w:r>
        <w:rPr>
          <w:rFonts w:ascii="宋体" w:hAnsi="宋体"/>
        </w:rPr>
        <w:t>[</w:t>
      </w:r>
      <w:r>
        <w:rPr>
          <w:rFonts w:hint="eastAsia" w:ascii="宋体" w:hAnsi="宋体"/>
        </w:rPr>
        <w:t>说明书修订日期</w:t>
      </w:r>
      <w:r>
        <w:rPr>
          <w:rFonts w:ascii="宋体" w:hAnsi="宋体"/>
        </w:rPr>
        <w:t>]</w:t>
      </w:r>
      <w:r>
        <w:rPr>
          <w:rFonts w:ascii="宋体" w:hAnsi="宋体"/>
        </w:rPr>
        <w:br w:type="textWrapping"/>
      </w:r>
      <w:r>
        <w:rPr>
          <w:rFonts w:ascii="宋体" w:hAnsi="宋体"/>
        </w:rPr>
        <w:t>[</w:t>
      </w:r>
      <w:r>
        <w:rPr>
          <w:rFonts w:hint="eastAsia" w:ascii="宋体" w:hAnsi="宋体"/>
        </w:rPr>
        <w:t>药品上市许可持有人</w:t>
      </w:r>
      <w:r>
        <w:rPr>
          <w:rFonts w:ascii="宋体" w:hAnsi="宋体"/>
        </w:rPr>
        <w:t>]</w:t>
      </w:r>
    </w:p>
    <w:p w14:paraId="2642C87B">
      <w:pPr>
        <w:rPr>
          <w:rFonts w:ascii="宋体" w:hAnsi="宋体"/>
        </w:rPr>
      </w:pPr>
      <w:r>
        <w:rPr>
          <w:rFonts w:hint="eastAsia" w:ascii="宋体" w:hAnsi="宋体"/>
        </w:rPr>
        <w:t>名</w:t>
      </w:r>
      <w:r>
        <w:rPr>
          <w:rFonts w:ascii="宋体" w:hAnsi="宋体"/>
        </w:rPr>
        <w:t xml:space="preserve">    </w:t>
      </w:r>
      <w:r>
        <w:rPr>
          <w:rFonts w:hint="eastAsia" w:ascii="宋体" w:hAnsi="宋体"/>
        </w:rPr>
        <w:t>称：</w:t>
      </w:r>
      <w:r>
        <w:rPr>
          <w:rFonts w:ascii="宋体" w:hAnsi="宋体"/>
        </w:rPr>
        <w:t xml:space="preserve"> </w:t>
      </w:r>
      <w:r>
        <w:rPr>
          <w:rFonts w:ascii="宋体" w:hAnsi="宋体"/>
        </w:rPr>
        <w:br w:type="textWrapping"/>
      </w:r>
      <w:r>
        <w:rPr>
          <w:rFonts w:hint="eastAsia" w:ascii="宋体" w:hAnsi="宋体"/>
        </w:rPr>
        <w:t>注册地址：</w:t>
      </w:r>
      <w:r>
        <w:rPr>
          <w:rFonts w:ascii="宋体" w:hAnsi="宋体"/>
        </w:rPr>
        <w:br w:type="textWrapping"/>
      </w:r>
      <w:r>
        <w:rPr>
          <w:rFonts w:hint="eastAsia" w:ascii="宋体" w:hAnsi="宋体"/>
        </w:rPr>
        <w:t>邮政编码：</w:t>
      </w:r>
      <w:r>
        <w:rPr>
          <w:rFonts w:ascii="宋体" w:hAnsi="宋体"/>
        </w:rPr>
        <w:br w:type="textWrapping"/>
      </w:r>
      <w:r>
        <w:rPr>
          <w:rFonts w:hint="eastAsia" w:ascii="宋体" w:hAnsi="宋体"/>
        </w:rPr>
        <w:t>电话号码：</w:t>
      </w:r>
      <w:r>
        <w:rPr>
          <w:rFonts w:ascii="宋体" w:hAnsi="宋体"/>
        </w:rPr>
        <w:br w:type="textWrapping"/>
      </w:r>
      <w:r>
        <w:rPr>
          <w:rFonts w:hint="eastAsia" w:ascii="宋体" w:hAnsi="宋体"/>
        </w:rPr>
        <w:t>传真号码：</w:t>
      </w:r>
      <w:r>
        <w:rPr>
          <w:rFonts w:ascii="宋体" w:hAnsi="宋体"/>
        </w:rPr>
        <w:br w:type="textWrapping"/>
      </w:r>
      <w:r>
        <w:rPr>
          <w:rFonts w:hint="eastAsia" w:ascii="宋体" w:hAnsi="宋体"/>
        </w:rPr>
        <w:t>网</w:t>
      </w:r>
      <w:r>
        <w:rPr>
          <w:rFonts w:ascii="宋体" w:hAnsi="宋体"/>
        </w:rPr>
        <w:t xml:space="preserve">    </w:t>
      </w:r>
      <w:r>
        <w:rPr>
          <w:rFonts w:hint="eastAsia" w:ascii="宋体" w:hAnsi="宋体"/>
        </w:rPr>
        <w:t>址：</w:t>
      </w:r>
    </w:p>
    <w:p w14:paraId="3A306AA8">
      <w:pPr>
        <w:rPr>
          <w:rFonts w:ascii="宋体" w:hAnsi="宋体"/>
          <w:b/>
          <w:bCs/>
        </w:rPr>
      </w:pPr>
      <w:r>
        <w:rPr>
          <w:rFonts w:ascii="宋体" w:hAnsi="宋体"/>
        </w:rPr>
        <w:t>[</w:t>
      </w:r>
      <w:r>
        <w:rPr>
          <w:rFonts w:hint="eastAsia" w:ascii="宋体" w:hAnsi="宋体"/>
        </w:rPr>
        <w:t>生产企业</w:t>
      </w:r>
      <w:r>
        <w:rPr>
          <w:rFonts w:ascii="宋体" w:hAnsi="宋体"/>
        </w:rPr>
        <w:t>]</w:t>
      </w:r>
      <w:r>
        <w:rPr>
          <w:rFonts w:ascii="宋体" w:hAnsi="宋体"/>
        </w:rPr>
        <w:br w:type="textWrapping"/>
      </w:r>
      <w:r>
        <w:rPr>
          <w:rFonts w:hint="eastAsia" w:ascii="宋体" w:hAnsi="宋体"/>
        </w:rPr>
        <w:t>企业名称：</w:t>
      </w:r>
      <w:r>
        <w:rPr>
          <w:rFonts w:ascii="宋体" w:hAnsi="宋体"/>
        </w:rPr>
        <w:t xml:space="preserve"> </w:t>
      </w:r>
      <w:r>
        <w:rPr>
          <w:rFonts w:ascii="宋体" w:hAnsi="宋体"/>
        </w:rPr>
        <w:br w:type="textWrapping"/>
      </w:r>
      <w:r>
        <w:rPr>
          <w:rFonts w:hint="eastAsia" w:ascii="宋体" w:hAnsi="宋体"/>
        </w:rPr>
        <w:t>生产地址：</w:t>
      </w:r>
      <w:r>
        <w:rPr>
          <w:rFonts w:ascii="宋体" w:hAnsi="宋体"/>
        </w:rPr>
        <w:br w:type="textWrapping"/>
      </w:r>
      <w:r>
        <w:rPr>
          <w:rFonts w:hint="eastAsia" w:ascii="宋体" w:hAnsi="宋体"/>
          <w:b/>
          <w:bCs/>
        </w:rPr>
        <w:t>如有问题可与药品上市许可持有人联系。</w:t>
      </w:r>
    </w:p>
    <w:p w14:paraId="14450C2D">
      <w:pPr>
        <w:rPr>
          <w:rFonts w:ascii="宋体" w:hAnsi="宋体"/>
          <w:b/>
          <w:bCs/>
        </w:rPr>
      </w:pPr>
    </w:p>
    <w:p w14:paraId="13C160ED">
      <w:pPr>
        <w:rPr>
          <w:rFonts w:ascii="宋体" w:hAnsi="宋体"/>
          <w:b/>
          <w:bCs/>
        </w:rPr>
      </w:pPr>
    </w:p>
    <w:p w14:paraId="592C2FB2">
      <w:pPr>
        <w:rPr>
          <w:rFonts w:ascii="Calibri" w:hAnsi="Calibri"/>
          <w:color w:val="000000"/>
          <w:szCs w:val="22"/>
        </w:rPr>
      </w:pPr>
      <w:r>
        <w:rPr>
          <w:rFonts w:hint="eastAsia" w:ascii="Calibri" w:hAnsi="Calibri"/>
          <w:color w:val="000000"/>
          <w:szCs w:val="21"/>
        </w:rPr>
        <w:t>（注：本说明书范本原则上不得删减，如原批准说明书的安全性内容较本范本内容更全面或者更严格的，应当保留原批准内容。）</w:t>
      </w:r>
    </w:p>
    <w:p w14:paraId="30241CC6"/>
    <w:p w14:paraId="0079FD00">
      <w:pPr>
        <w:rPr>
          <w:rFonts w:ascii="Calibri" w:hAnsi="Calibri"/>
          <w:color w:val="000000"/>
          <w:szCs w:val="21"/>
        </w:rPr>
      </w:pPr>
    </w:p>
    <w:p w14:paraId="74C98267">
      <w:pPr>
        <w:keepNext/>
        <w:keepLines/>
        <w:spacing w:before="260" w:after="260" w:line="408" w:lineRule="auto"/>
        <w:jc w:val="center"/>
        <w:outlineLvl w:val="1"/>
        <w:rPr>
          <w:rFonts w:ascii="宋体" w:hAnsi="宋体" w:cs="宋体"/>
          <w:b/>
          <w:sz w:val="30"/>
          <w:szCs w:val="20"/>
        </w:rPr>
      </w:pPr>
      <w:r>
        <w:rPr>
          <w:rFonts w:ascii="Calibri" w:hAnsi="Calibri"/>
          <w:color w:val="000000"/>
          <w:szCs w:val="21"/>
        </w:rPr>
        <w:br w:type="page"/>
      </w:r>
      <w:r>
        <w:rPr>
          <w:rFonts w:hint="eastAsia" w:ascii="宋体" w:hAnsi="宋体" w:cs="宋体"/>
          <w:b/>
          <w:sz w:val="30"/>
          <w:szCs w:val="20"/>
        </w:rPr>
        <w:t>红药胶囊说明书</w:t>
      </w:r>
    </w:p>
    <w:p w14:paraId="7A486346">
      <w:pPr>
        <w:spacing w:line="300" w:lineRule="exact"/>
        <w:jc w:val="center"/>
        <w:rPr>
          <w:rFonts w:ascii="宋体" w:hAnsi="宋体"/>
          <w:b/>
        </w:rPr>
      </w:pPr>
      <w:r>
        <w:rPr>
          <w:rFonts w:hint="eastAsia" w:ascii="宋体" w:hAnsi="宋体"/>
          <w:b/>
        </w:rPr>
        <w:t>请仔细阅读说明书并按说明使用或在药师指导下购买和使用</w:t>
      </w:r>
    </w:p>
    <w:p w14:paraId="15EDD624">
      <w:pPr>
        <w:spacing w:line="0" w:lineRule="atLeast"/>
        <w:rPr>
          <w:szCs w:val="21"/>
        </w:rPr>
      </w:pPr>
      <w:r>
        <w:rPr>
          <w:szCs w:val="21"/>
        </w:rPr>
        <w:t>[</w:t>
      </w:r>
      <w:r>
        <w:rPr>
          <w:rFonts w:hint="eastAsia"/>
          <w:szCs w:val="21"/>
        </w:rPr>
        <w:t>药品名称</w:t>
      </w:r>
      <w:r>
        <w:rPr>
          <w:szCs w:val="21"/>
        </w:rPr>
        <w:t>]</w:t>
      </w:r>
    </w:p>
    <w:p w14:paraId="16C29597">
      <w:pPr>
        <w:spacing w:line="280" w:lineRule="exact"/>
        <w:rPr>
          <w:szCs w:val="21"/>
        </w:rPr>
      </w:pPr>
      <w:r>
        <w:rPr>
          <w:rFonts w:hint="eastAsia"/>
          <w:szCs w:val="21"/>
        </w:rPr>
        <w:t>通用名称：红药胶囊</w:t>
      </w:r>
    </w:p>
    <w:p w14:paraId="7382DE18">
      <w:pPr>
        <w:spacing w:line="280" w:lineRule="exact"/>
        <w:rPr>
          <w:szCs w:val="21"/>
        </w:rPr>
      </w:pPr>
      <w:r>
        <w:rPr>
          <w:rFonts w:hint="eastAsia"/>
          <w:szCs w:val="21"/>
        </w:rPr>
        <w:t>汉语拼音：</w:t>
      </w:r>
    </w:p>
    <w:p w14:paraId="16C1DF3E">
      <w:pPr>
        <w:spacing w:line="0" w:lineRule="atLeast"/>
        <w:rPr>
          <w:szCs w:val="21"/>
        </w:rPr>
      </w:pPr>
      <w:r>
        <w:rPr>
          <w:szCs w:val="21"/>
        </w:rPr>
        <w:t>[</w:t>
      </w:r>
      <w:r>
        <w:rPr>
          <w:rFonts w:hint="eastAsia"/>
          <w:szCs w:val="21"/>
        </w:rPr>
        <w:t>成份</w:t>
      </w:r>
      <w:r>
        <w:rPr>
          <w:szCs w:val="21"/>
        </w:rPr>
        <w:t>]</w:t>
      </w:r>
    </w:p>
    <w:p w14:paraId="6C85FBD4">
      <w:pPr>
        <w:spacing w:line="280" w:lineRule="exact"/>
        <w:rPr>
          <w:szCs w:val="21"/>
        </w:rPr>
      </w:pPr>
      <w:r>
        <w:rPr>
          <w:szCs w:val="21"/>
        </w:rPr>
        <w:t>[</w:t>
      </w:r>
      <w:r>
        <w:rPr>
          <w:rFonts w:hint="eastAsia"/>
          <w:szCs w:val="21"/>
        </w:rPr>
        <w:t>性状</w:t>
      </w:r>
      <w:r>
        <w:rPr>
          <w:szCs w:val="21"/>
        </w:rPr>
        <w:t>]</w:t>
      </w:r>
    </w:p>
    <w:p w14:paraId="22F7CAF1">
      <w:pPr>
        <w:spacing w:line="280" w:lineRule="exact"/>
        <w:rPr>
          <w:szCs w:val="21"/>
        </w:rPr>
      </w:pPr>
      <w:r>
        <w:rPr>
          <w:szCs w:val="21"/>
        </w:rPr>
        <w:t>[</w:t>
      </w:r>
      <w:r>
        <w:rPr>
          <w:rFonts w:hint="eastAsia"/>
          <w:szCs w:val="21"/>
        </w:rPr>
        <w:t>功能主治</w:t>
      </w:r>
      <w:r>
        <w:rPr>
          <w:szCs w:val="21"/>
        </w:rPr>
        <w:t>]</w:t>
      </w:r>
      <w:r>
        <w:rPr>
          <w:rFonts w:hint="eastAsia"/>
          <w:szCs w:val="21"/>
        </w:rPr>
        <w:t>活血止痛，去瘀生新。用于跌打损伤，瘀血肿痛，风湿麻木。</w:t>
      </w:r>
    </w:p>
    <w:p w14:paraId="23336144">
      <w:pPr>
        <w:spacing w:line="280" w:lineRule="exact"/>
        <w:rPr>
          <w:rFonts w:eastAsia="宋体"/>
          <w:szCs w:val="21"/>
        </w:rPr>
      </w:pPr>
      <w:r>
        <w:rPr>
          <w:szCs w:val="21"/>
        </w:rPr>
        <w:t>[</w:t>
      </w:r>
      <w:r>
        <w:rPr>
          <w:rFonts w:hint="eastAsia"/>
          <w:szCs w:val="21"/>
        </w:rPr>
        <w:t>规格</w:t>
      </w:r>
      <w:r>
        <w:rPr>
          <w:szCs w:val="21"/>
        </w:rPr>
        <w:t>]</w:t>
      </w:r>
      <w:r>
        <w:rPr>
          <w:rFonts w:hint="eastAsia"/>
          <w:szCs w:val="21"/>
        </w:rPr>
        <w:t>每粒装0.</w:t>
      </w:r>
      <w:r>
        <w:rPr>
          <w:szCs w:val="21"/>
        </w:rPr>
        <w:t>2</w:t>
      </w:r>
      <w:r>
        <w:rPr>
          <w:rFonts w:hint="eastAsia"/>
          <w:szCs w:val="21"/>
        </w:rPr>
        <w:t>3克</w:t>
      </w:r>
    </w:p>
    <w:p w14:paraId="797F0EDD">
      <w:pPr>
        <w:spacing w:line="280" w:lineRule="exact"/>
        <w:rPr>
          <w:szCs w:val="21"/>
        </w:rPr>
      </w:pPr>
      <w:r>
        <w:rPr>
          <w:szCs w:val="21"/>
        </w:rPr>
        <w:t>[</w:t>
      </w:r>
      <w:r>
        <w:rPr>
          <w:rFonts w:hint="eastAsia"/>
          <w:szCs w:val="21"/>
        </w:rPr>
        <w:t>用法用量</w:t>
      </w:r>
      <w:r>
        <w:rPr>
          <w:szCs w:val="21"/>
        </w:rPr>
        <w:t>]</w:t>
      </w:r>
      <w:r>
        <w:rPr>
          <w:rFonts w:hint="eastAsia"/>
          <w:szCs w:val="21"/>
        </w:rPr>
        <w:t>口服。一次2粒，一日2次。儿童减半。</w:t>
      </w:r>
    </w:p>
    <w:p w14:paraId="60AC5582">
      <w:pPr>
        <w:spacing w:line="280" w:lineRule="exact"/>
        <w:rPr>
          <w:szCs w:val="21"/>
        </w:rPr>
      </w:pPr>
      <w:r>
        <w:rPr>
          <w:szCs w:val="21"/>
        </w:rPr>
        <w:t>[</w:t>
      </w:r>
      <w:r>
        <w:rPr>
          <w:rFonts w:hint="eastAsia"/>
          <w:szCs w:val="21"/>
        </w:rPr>
        <w:t>不良反应</w:t>
      </w:r>
      <w:r>
        <w:rPr>
          <w:szCs w:val="21"/>
        </w:rPr>
        <w:t>]</w:t>
      </w:r>
      <w:r>
        <w:rPr>
          <w:rFonts w:hint="eastAsia"/>
          <w:szCs w:val="21"/>
        </w:rPr>
        <w:t>监测数据显示，本品可见以下不良反应报告：恶心、腹泻、呕吐、腹痛、腹胀、腹部不适、瘙痒、皮疹、红斑、头晕、头痛、过敏反应等。有超说明书用量服药出现肝损伤的个例报告。</w:t>
      </w:r>
    </w:p>
    <w:p w14:paraId="6984BD13">
      <w:pPr>
        <w:spacing w:line="0" w:lineRule="atLeast"/>
        <w:rPr>
          <w:b/>
          <w:bCs/>
          <w:szCs w:val="21"/>
        </w:rPr>
      </w:pPr>
      <w:r>
        <w:rPr>
          <w:b/>
          <w:bCs/>
          <w:szCs w:val="21"/>
        </w:rPr>
        <w:t>[</w:t>
      </w:r>
      <w:r>
        <w:rPr>
          <w:rFonts w:hint="eastAsia"/>
          <w:b/>
          <w:bCs/>
          <w:szCs w:val="21"/>
        </w:rPr>
        <w:t>禁忌</w:t>
      </w:r>
      <w:r>
        <w:rPr>
          <w:b/>
          <w:bCs/>
          <w:szCs w:val="21"/>
        </w:rPr>
        <w:t>]</w:t>
      </w:r>
    </w:p>
    <w:p w14:paraId="0E3471CF">
      <w:pPr>
        <w:spacing w:line="0" w:lineRule="atLeas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1.</w:t>
      </w:r>
      <w:r>
        <w:rPr>
          <w:b/>
          <w:bCs/>
          <w:szCs w:val="21"/>
        </w:rPr>
        <w:t xml:space="preserve"> </w:t>
      </w:r>
      <w:r>
        <w:rPr>
          <w:rFonts w:hint="eastAsia"/>
          <w:b/>
          <w:bCs/>
          <w:szCs w:val="21"/>
        </w:rPr>
        <w:t>孕妇忌服。</w:t>
      </w:r>
    </w:p>
    <w:p w14:paraId="76656B19">
      <w:pPr>
        <w:spacing w:line="0" w:lineRule="atLeas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2.</w:t>
      </w:r>
      <w:r>
        <w:rPr>
          <w:b/>
          <w:bCs/>
          <w:szCs w:val="21"/>
        </w:rPr>
        <w:t xml:space="preserve"> </w:t>
      </w:r>
      <w:r>
        <w:rPr>
          <w:rFonts w:hint="eastAsia"/>
          <w:b/>
          <w:bCs/>
          <w:szCs w:val="21"/>
        </w:rPr>
        <w:t>对本品及所含成份过敏者禁用。</w:t>
      </w:r>
    </w:p>
    <w:p w14:paraId="363D7CDF">
      <w:pPr>
        <w:spacing w:line="0" w:lineRule="atLeast"/>
        <w:rPr>
          <w:b/>
          <w:bCs/>
          <w:szCs w:val="21"/>
        </w:rPr>
      </w:pPr>
      <w:r>
        <w:rPr>
          <w:b/>
          <w:bCs/>
          <w:szCs w:val="21"/>
        </w:rPr>
        <w:t>[</w:t>
      </w:r>
      <w:r>
        <w:rPr>
          <w:rFonts w:hint="eastAsia"/>
          <w:b/>
          <w:bCs/>
          <w:szCs w:val="21"/>
        </w:rPr>
        <w:t>注意事项</w:t>
      </w:r>
      <w:r>
        <w:rPr>
          <w:b/>
          <w:bCs/>
          <w:szCs w:val="21"/>
        </w:rPr>
        <w:t>]</w:t>
      </w:r>
    </w:p>
    <w:p w14:paraId="2DD61F6C">
      <w:pPr>
        <w:spacing w:line="0" w:lineRule="atLeas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 xml:space="preserve">1. 忌烟、酒及辛辣、生冷、油腻食物。 </w:t>
      </w:r>
    </w:p>
    <w:p w14:paraId="1834ED6F">
      <w:pPr>
        <w:spacing w:line="0" w:lineRule="atLeast"/>
        <w:rPr>
          <w:b/>
          <w:bCs/>
          <w:szCs w:val="21"/>
        </w:rPr>
      </w:pPr>
      <w:r>
        <w:rPr>
          <w:b/>
          <w:bCs/>
          <w:szCs w:val="21"/>
        </w:rPr>
        <w:t xml:space="preserve">2. </w:t>
      </w:r>
      <w:r>
        <w:rPr>
          <w:rFonts w:hint="eastAsia"/>
          <w:b/>
          <w:bCs/>
          <w:szCs w:val="21"/>
        </w:rPr>
        <w:t>严格按照用法用量服用，本品不宜长期或超量服用。</w:t>
      </w:r>
    </w:p>
    <w:p w14:paraId="512DC0AA">
      <w:pPr>
        <w:spacing w:line="0" w:lineRule="atLeas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3</w:t>
      </w:r>
      <w:r>
        <w:rPr>
          <w:b/>
          <w:bCs/>
          <w:szCs w:val="21"/>
        </w:rPr>
        <w:t xml:space="preserve">. </w:t>
      </w:r>
      <w:r>
        <w:rPr>
          <w:rFonts w:hint="eastAsia"/>
          <w:b/>
          <w:bCs/>
          <w:szCs w:val="21"/>
        </w:rPr>
        <w:t>妇女月经期停止用药。哺乳期妇女应在医师指导下服用。</w:t>
      </w:r>
    </w:p>
    <w:p w14:paraId="39C77BF5">
      <w:pPr>
        <w:spacing w:line="0" w:lineRule="atLeast"/>
        <w:rPr>
          <w:b/>
          <w:bCs/>
          <w:szCs w:val="21"/>
        </w:rPr>
      </w:pPr>
      <w:r>
        <w:rPr>
          <w:b/>
          <w:bCs/>
          <w:szCs w:val="21"/>
        </w:rPr>
        <w:t>4.</w:t>
      </w:r>
      <w:r>
        <w:rPr>
          <w:rFonts w:hint="eastAsia"/>
          <w:b/>
          <w:bCs/>
          <w:szCs w:val="21"/>
        </w:rPr>
        <w:t xml:space="preserve"> 高血压、心脏病、肝病、糖尿病、肾病等患者应在医师指导下服用。</w:t>
      </w:r>
    </w:p>
    <w:p w14:paraId="16F6C1F0">
      <w:pPr>
        <w:spacing w:line="0" w:lineRule="atLeast"/>
        <w:rPr>
          <w:b/>
          <w:bCs/>
          <w:szCs w:val="21"/>
        </w:rPr>
      </w:pPr>
      <w:r>
        <w:rPr>
          <w:b/>
          <w:bCs/>
          <w:szCs w:val="21"/>
        </w:rPr>
        <w:t xml:space="preserve">5. </w:t>
      </w:r>
      <w:r>
        <w:rPr>
          <w:rFonts w:hint="eastAsia"/>
          <w:b/>
          <w:bCs/>
          <w:szCs w:val="21"/>
        </w:rPr>
        <w:t xml:space="preserve">儿童、年老体弱者应在医师指导下服用。 </w:t>
      </w:r>
    </w:p>
    <w:p w14:paraId="10317A7C">
      <w:pPr>
        <w:spacing w:line="0" w:lineRule="atLeast"/>
        <w:rPr>
          <w:b/>
          <w:bCs/>
          <w:szCs w:val="21"/>
        </w:rPr>
      </w:pPr>
      <w:r>
        <w:rPr>
          <w:b/>
          <w:bCs/>
          <w:szCs w:val="21"/>
        </w:rPr>
        <w:t xml:space="preserve">6. </w:t>
      </w:r>
      <w:r>
        <w:rPr>
          <w:rFonts w:hint="eastAsia"/>
          <w:b/>
          <w:bCs/>
          <w:szCs w:val="21"/>
        </w:rPr>
        <w:t>合并有开放性伤口者，应去医院就诊。</w:t>
      </w:r>
    </w:p>
    <w:p w14:paraId="4749D4A9">
      <w:pPr>
        <w:spacing w:line="0" w:lineRule="atLeast"/>
        <w:rPr>
          <w:b/>
          <w:bCs/>
          <w:szCs w:val="21"/>
        </w:rPr>
      </w:pPr>
      <w:r>
        <w:rPr>
          <w:b/>
          <w:bCs/>
          <w:szCs w:val="21"/>
        </w:rPr>
        <w:t xml:space="preserve">7. </w:t>
      </w:r>
      <w:r>
        <w:rPr>
          <w:rFonts w:hint="eastAsia"/>
          <w:b/>
          <w:bCs/>
          <w:szCs w:val="21"/>
        </w:rPr>
        <w:t>类风湿性关节炎、坐骨神经痛、糖尿病周围血管疾病等所致肢体关节疼痛、麻木者，应去医院就诊。</w:t>
      </w:r>
    </w:p>
    <w:p w14:paraId="6EFB0380">
      <w:pPr>
        <w:spacing w:line="0" w:lineRule="atLeast"/>
        <w:rPr>
          <w:b/>
          <w:bCs/>
          <w:szCs w:val="21"/>
        </w:rPr>
      </w:pPr>
      <w:r>
        <w:rPr>
          <w:b/>
          <w:bCs/>
          <w:szCs w:val="21"/>
        </w:rPr>
        <w:t>8</w:t>
      </w:r>
      <w:r>
        <w:rPr>
          <w:rFonts w:hint="eastAsia"/>
          <w:b/>
          <w:bCs/>
          <w:szCs w:val="21"/>
        </w:rPr>
        <w:t xml:space="preserve">. 服药3天症状无缓解，或症状加重，或出现新的严重症状，应去医院就诊。 </w:t>
      </w:r>
    </w:p>
    <w:p w14:paraId="5316A024">
      <w:pPr>
        <w:spacing w:line="0" w:lineRule="atLeast"/>
        <w:rPr>
          <w:b/>
          <w:bCs/>
          <w:szCs w:val="21"/>
        </w:rPr>
      </w:pPr>
      <w:r>
        <w:rPr>
          <w:b/>
          <w:bCs/>
          <w:szCs w:val="21"/>
        </w:rPr>
        <w:t>9</w:t>
      </w:r>
      <w:r>
        <w:rPr>
          <w:rFonts w:hint="eastAsia"/>
          <w:b/>
          <w:bCs/>
          <w:szCs w:val="21"/>
        </w:rPr>
        <w:t xml:space="preserve">. 过敏体质者慎用。 </w:t>
      </w:r>
    </w:p>
    <w:p w14:paraId="6A7C5784">
      <w:pPr>
        <w:spacing w:line="0" w:lineRule="atLeast"/>
        <w:rPr>
          <w:b/>
          <w:bCs/>
          <w:szCs w:val="21"/>
        </w:rPr>
      </w:pPr>
      <w:r>
        <w:rPr>
          <w:b/>
          <w:bCs/>
          <w:szCs w:val="21"/>
        </w:rPr>
        <w:t>10</w:t>
      </w:r>
      <w:r>
        <w:rPr>
          <w:rFonts w:hint="eastAsia"/>
          <w:b/>
          <w:bCs/>
          <w:szCs w:val="21"/>
        </w:rPr>
        <w:t xml:space="preserve"> 本品性状发生改变时禁止使用。 </w:t>
      </w:r>
    </w:p>
    <w:p w14:paraId="625DDB65">
      <w:pPr>
        <w:spacing w:line="0" w:lineRule="atLeast"/>
        <w:rPr>
          <w:b/>
          <w:bCs/>
          <w:szCs w:val="21"/>
        </w:rPr>
      </w:pPr>
      <w:r>
        <w:rPr>
          <w:b/>
          <w:bCs/>
          <w:szCs w:val="21"/>
        </w:rPr>
        <w:t>11</w:t>
      </w:r>
      <w:r>
        <w:rPr>
          <w:rFonts w:hint="eastAsia"/>
          <w:b/>
          <w:bCs/>
          <w:szCs w:val="21"/>
        </w:rPr>
        <w:t xml:space="preserve">. 儿童必须在成人监护下使用。 </w:t>
      </w:r>
    </w:p>
    <w:p w14:paraId="0DD8A8B6">
      <w:pPr>
        <w:spacing w:line="0" w:lineRule="atLeast"/>
        <w:rPr>
          <w:b/>
          <w:bCs/>
          <w:szCs w:val="21"/>
        </w:rPr>
      </w:pPr>
      <w:r>
        <w:rPr>
          <w:b/>
          <w:bCs/>
          <w:szCs w:val="21"/>
        </w:rPr>
        <w:t>12</w:t>
      </w:r>
      <w:r>
        <w:rPr>
          <w:rFonts w:hint="eastAsia"/>
          <w:b/>
          <w:bCs/>
          <w:szCs w:val="21"/>
        </w:rPr>
        <w:t xml:space="preserve">. 请将本品放在儿童不能接触的地方。 </w:t>
      </w:r>
    </w:p>
    <w:p w14:paraId="667F3975">
      <w:pPr>
        <w:spacing w:line="0" w:lineRule="atLeast"/>
        <w:rPr>
          <w:b/>
          <w:bCs/>
          <w:szCs w:val="21"/>
        </w:rPr>
      </w:pPr>
      <w:r>
        <w:rPr>
          <w:b/>
          <w:bCs/>
          <w:szCs w:val="21"/>
        </w:rPr>
        <w:t>13</w:t>
      </w:r>
      <w:r>
        <w:rPr>
          <w:rFonts w:hint="eastAsia"/>
          <w:b/>
          <w:bCs/>
          <w:szCs w:val="21"/>
        </w:rPr>
        <w:t>. 如正在使用其他药品，使用本品前请咨询医师或药师。</w:t>
      </w:r>
    </w:p>
    <w:p w14:paraId="1C767F6E">
      <w:pPr>
        <w:spacing w:line="0" w:lineRule="atLeast"/>
        <w:rPr>
          <w:szCs w:val="21"/>
        </w:rPr>
      </w:pPr>
      <w:r>
        <w:rPr>
          <w:szCs w:val="21"/>
        </w:rPr>
        <w:t>[</w:t>
      </w:r>
      <w:r>
        <w:rPr>
          <w:rFonts w:hint="eastAsia"/>
          <w:szCs w:val="21"/>
        </w:rPr>
        <w:t>药物相互作用]如与其他药物同时使用可能会发生药物相互作用，详情请咨询医师或药师。</w:t>
      </w:r>
    </w:p>
    <w:p w14:paraId="1688C6EF">
      <w:r>
        <w:t>[</w:t>
      </w:r>
      <w:r>
        <w:rPr>
          <w:rFonts w:hint="eastAsia"/>
        </w:rPr>
        <w:t>贮藏</w:t>
      </w:r>
      <w:r>
        <w:t xml:space="preserve">] </w:t>
      </w:r>
      <w:r>
        <w:br w:type="textWrapping"/>
      </w:r>
      <w:r>
        <w:t>[</w:t>
      </w:r>
      <w:r>
        <w:rPr>
          <w:rFonts w:hint="eastAsia"/>
        </w:rPr>
        <w:t>包装</w:t>
      </w:r>
      <w:r>
        <w:t>]</w:t>
      </w:r>
      <w:r>
        <w:br w:type="textWrapping"/>
      </w:r>
      <w:r>
        <w:t>[</w:t>
      </w:r>
      <w:r>
        <w:rPr>
          <w:rFonts w:hint="eastAsia"/>
        </w:rPr>
        <w:t>有效期</w:t>
      </w:r>
      <w:r>
        <w:t>]</w:t>
      </w:r>
      <w:r>
        <w:br w:type="textWrapping"/>
      </w:r>
      <w:r>
        <w:t>[</w:t>
      </w:r>
      <w:r>
        <w:rPr>
          <w:rFonts w:hint="eastAsia"/>
        </w:rPr>
        <w:t>执行标准</w:t>
      </w:r>
      <w:r>
        <w:t>]</w:t>
      </w:r>
      <w:r>
        <w:br w:type="textWrapping"/>
      </w:r>
      <w:r>
        <w:t>[</w:t>
      </w:r>
      <w:r>
        <w:rPr>
          <w:rFonts w:hint="eastAsia"/>
        </w:rPr>
        <w:t>批准文号</w:t>
      </w:r>
      <w:r>
        <w:t>]</w:t>
      </w:r>
      <w:r>
        <w:br w:type="textWrapping"/>
      </w:r>
      <w:r>
        <w:t>[</w:t>
      </w:r>
      <w:r>
        <w:rPr>
          <w:rFonts w:hint="eastAsia"/>
        </w:rPr>
        <w:t>说明书修订日期</w:t>
      </w:r>
      <w:r>
        <w:t>]</w:t>
      </w:r>
      <w:r>
        <w:br w:type="textWrapping"/>
      </w:r>
      <w:r>
        <w:t>[</w:t>
      </w:r>
      <w:r>
        <w:rPr>
          <w:rFonts w:hint="eastAsia"/>
        </w:rPr>
        <w:t>药品上市许可持有人</w:t>
      </w:r>
      <w:r>
        <w:t>]</w:t>
      </w:r>
    </w:p>
    <w:p w14:paraId="72F4E7B5">
      <w:r>
        <w:rPr>
          <w:rFonts w:hint="eastAsia"/>
        </w:rPr>
        <w:t>名</w:t>
      </w:r>
      <w:r>
        <w:t xml:space="preserve">    </w:t>
      </w:r>
      <w:r>
        <w:rPr>
          <w:rFonts w:hint="eastAsia"/>
        </w:rPr>
        <w:t>称：</w:t>
      </w:r>
      <w:r>
        <w:t xml:space="preserve"> </w:t>
      </w:r>
      <w:r>
        <w:br w:type="textWrapping"/>
      </w:r>
      <w:r>
        <w:rPr>
          <w:rFonts w:hint="eastAsia"/>
        </w:rPr>
        <w:t>注册地址：</w:t>
      </w:r>
      <w:r>
        <w:br w:type="textWrapping"/>
      </w:r>
      <w:r>
        <w:rPr>
          <w:rFonts w:hint="eastAsia"/>
        </w:rPr>
        <w:t>邮政编码：</w:t>
      </w:r>
      <w:r>
        <w:br w:type="textWrapping"/>
      </w:r>
      <w:r>
        <w:rPr>
          <w:rFonts w:hint="eastAsia"/>
        </w:rPr>
        <w:t>电话号码：</w:t>
      </w:r>
      <w:r>
        <w:br w:type="textWrapping"/>
      </w:r>
      <w:r>
        <w:rPr>
          <w:rFonts w:hint="eastAsia"/>
        </w:rPr>
        <w:t>传真号码：</w:t>
      </w:r>
      <w:r>
        <w:br w:type="textWrapping"/>
      </w:r>
      <w:r>
        <w:rPr>
          <w:rFonts w:hint="eastAsia"/>
        </w:rPr>
        <w:t>网</w:t>
      </w:r>
      <w:r>
        <w:t xml:space="preserve">    </w:t>
      </w:r>
      <w:r>
        <w:rPr>
          <w:rFonts w:hint="eastAsia"/>
        </w:rPr>
        <w:t>址：</w:t>
      </w:r>
    </w:p>
    <w:p w14:paraId="35DA6778">
      <w:pPr>
        <w:rPr>
          <w:b/>
          <w:bCs/>
        </w:rPr>
      </w:pPr>
      <w:r>
        <w:t>[</w:t>
      </w:r>
      <w:r>
        <w:rPr>
          <w:rFonts w:hint="eastAsia"/>
        </w:rPr>
        <w:t>生产企业</w:t>
      </w:r>
      <w:r>
        <w:t>]</w:t>
      </w:r>
      <w:r>
        <w:br w:type="textWrapping"/>
      </w:r>
      <w:r>
        <w:rPr>
          <w:rFonts w:hint="eastAsia"/>
        </w:rPr>
        <w:t>企业名称：</w:t>
      </w:r>
      <w:r>
        <w:t xml:space="preserve"> </w:t>
      </w:r>
      <w:r>
        <w:br w:type="textWrapping"/>
      </w:r>
      <w:r>
        <w:rPr>
          <w:rFonts w:hint="eastAsia"/>
        </w:rPr>
        <w:t>生产地址：</w:t>
      </w:r>
      <w:r>
        <w:br w:type="textWrapping"/>
      </w:r>
      <w:r>
        <w:rPr>
          <w:rFonts w:hint="eastAsia"/>
          <w:b/>
          <w:bCs/>
        </w:rPr>
        <w:t>如有问题可与药品上市许可持有人联系。</w:t>
      </w:r>
    </w:p>
    <w:p w14:paraId="7463A31F">
      <w:pPr>
        <w:rPr>
          <w:b/>
          <w:bCs/>
        </w:rPr>
      </w:pPr>
    </w:p>
    <w:p w14:paraId="6EA0FE85">
      <w:pPr>
        <w:rPr>
          <w:b/>
          <w:bCs/>
        </w:rPr>
      </w:pPr>
      <w:r>
        <w:rPr>
          <w:rFonts w:hint="eastAsia" w:ascii="Calibri" w:hAnsi="Calibri"/>
          <w:color w:val="000000"/>
          <w:szCs w:val="21"/>
        </w:rPr>
        <w:t>（注：本说明书范本原则上不得删减，如原批准说明书的安全性内容较本范本内容更全面或者更严格的，应当保留原批准内容。）</w:t>
      </w:r>
    </w:p>
    <w:p w14:paraId="4943A3C3"/>
    <w:p w14:paraId="1E276729"/>
    <w:p w14:paraId="5802B05C">
      <w:pPr>
        <w:keepNext/>
        <w:keepLines/>
        <w:spacing w:before="260" w:after="260" w:line="408" w:lineRule="auto"/>
        <w:jc w:val="center"/>
        <w:outlineLvl w:val="1"/>
        <w:rPr>
          <w:rFonts w:ascii="宋体" w:hAnsi="宋体" w:cs="宋体"/>
          <w:b/>
          <w:sz w:val="30"/>
          <w:szCs w:val="20"/>
        </w:rPr>
      </w:pPr>
      <w:r>
        <w:rPr>
          <w:rFonts w:ascii="宋体" w:hAnsi="宋体" w:cs="宋体"/>
          <w:b/>
          <w:sz w:val="30"/>
          <w:szCs w:val="20"/>
        </w:rPr>
        <w:br w:type="page"/>
      </w:r>
      <w:r>
        <w:rPr>
          <w:rFonts w:ascii="宋体" w:hAnsi="宋体" w:cs="宋体"/>
          <w:b/>
          <w:sz w:val="30"/>
          <w:szCs w:val="20"/>
        </w:rPr>
        <w:t>调经活血胶囊说明书</w:t>
      </w:r>
    </w:p>
    <w:p w14:paraId="63983C15">
      <w:pPr>
        <w:spacing w:line="300" w:lineRule="exact"/>
        <w:jc w:val="center"/>
        <w:rPr>
          <w:rFonts w:ascii="宋体" w:hAnsi="宋体"/>
          <w:b/>
        </w:rPr>
      </w:pPr>
      <w:r>
        <w:rPr>
          <w:rFonts w:hint="eastAsia" w:ascii="宋体" w:hAnsi="宋体"/>
          <w:b/>
        </w:rPr>
        <w:t>请仔细阅读说明书并按说明使用或在药师指导下购买和使用</w:t>
      </w:r>
    </w:p>
    <w:p w14:paraId="7367CA26">
      <w:pPr>
        <w:spacing w:line="280" w:lineRule="exact"/>
        <w:rPr>
          <w:szCs w:val="21"/>
        </w:rPr>
      </w:pPr>
      <w:r>
        <w:rPr>
          <w:szCs w:val="21"/>
        </w:rPr>
        <w:t>[药品名称]</w:t>
      </w:r>
    </w:p>
    <w:p w14:paraId="73EB8B3F">
      <w:pPr>
        <w:spacing w:line="280" w:lineRule="exact"/>
        <w:rPr>
          <w:szCs w:val="21"/>
        </w:rPr>
      </w:pPr>
      <w:r>
        <w:rPr>
          <w:szCs w:val="21"/>
        </w:rPr>
        <w:t>通用名称：</w:t>
      </w:r>
      <w:r>
        <w:rPr>
          <w:rFonts w:hint="eastAsia"/>
          <w:szCs w:val="21"/>
        </w:rPr>
        <w:t>调经活血胶囊</w:t>
      </w:r>
    </w:p>
    <w:p w14:paraId="5A59C58D">
      <w:pPr>
        <w:spacing w:line="280" w:lineRule="exact"/>
        <w:rPr>
          <w:szCs w:val="21"/>
        </w:rPr>
      </w:pPr>
      <w:r>
        <w:rPr>
          <w:szCs w:val="21"/>
        </w:rPr>
        <w:t>汉语拼音：</w:t>
      </w:r>
    </w:p>
    <w:p w14:paraId="7AC4C3AD">
      <w:pPr>
        <w:spacing w:line="280" w:lineRule="exact"/>
        <w:rPr>
          <w:szCs w:val="21"/>
        </w:rPr>
      </w:pPr>
      <w:r>
        <w:rPr>
          <w:szCs w:val="21"/>
        </w:rPr>
        <w:t>[成份]</w:t>
      </w:r>
    </w:p>
    <w:p w14:paraId="72304882">
      <w:pPr>
        <w:spacing w:line="280" w:lineRule="exact"/>
        <w:rPr>
          <w:szCs w:val="21"/>
        </w:rPr>
      </w:pPr>
      <w:r>
        <w:rPr>
          <w:szCs w:val="21"/>
        </w:rPr>
        <w:t>[性状]</w:t>
      </w:r>
    </w:p>
    <w:p w14:paraId="6485123F">
      <w:pPr>
        <w:spacing w:line="280" w:lineRule="exact"/>
        <w:rPr>
          <w:szCs w:val="21"/>
        </w:rPr>
      </w:pPr>
      <w:r>
        <w:rPr>
          <w:szCs w:val="21"/>
        </w:rPr>
        <w:t>[功能主治]</w:t>
      </w:r>
      <w:r>
        <w:rPr>
          <w:rFonts w:hint="eastAsia"/>
          <w:szCs w:val="21"/>
        </w:rPr>
        <w:t>养血活血，行气止痛。用于气滞血瘀兼血虚所致月经不调、痛经，症见经行错后、经水量少、行经小腹胀痛。</w:t>
      </w:r>
    </w:p>
    <w:p w14:paraId="3711A8D1">
      <w:pPr>
        <w:spacing w:line="280" w:lineRule="exact"/>
        <w:rPr>
          <w:szCs w:val="21"/>
        </w:rPr>
      </w:pPr>
      <w:r>
        <w:rPr>
          <w:szCs w:val="21"/>
        </w:rPr>
        <w:t>[规格]每粒装0.4</w:t>
      </w:r>
      <w:r>
        <w:rPr>
          <w:rFonts w:hint="eastAsia"/>
          <w:szCs w:val="21"/>
        </w:rPr>
        <w:t>克</w:t>
      </w:r>
      <w:r>
        <w:rPr>
          <w:szCs w:val="21"/>
        </w:rPr>
        <w:t>（相当于饮片1.033</w:t>
      </w:r>
      <w:r>
        <w:rPr>
          <w:rFonts w:hint="eastAsia"/>
          <w:szCs w:val="21"/>
        </w:rPr>
        <w:t>克</w:t>
      </w:r>
      <w:r>
        <w:rPr>
          <w:szCs w:val="21"/>
        </w:rPr>
        <w:t>）</w:t>
      </w:r>
    </w:p>
    <w:p w14:paraId="5BFF0E69">
      <w:pPr>
        <w:spacing w:line="280" w:lineRule="exact"/>
        <w:rPr>
          <w:szCs w:val="21"/>
        </w:rPr>
      </w:pPr>
      <w:r>
        <w:rPr>
          <w:szCs w:val="21"/>
        </w:rPr>
        <w:t>[用法用量]</w:t>
      </w:r>
      <w:bookmarkStart w:id="2" w:name="OLE_LINK21"/>
      <w:bookmarkStart w:id="3" w:name="OLE_LINK19"/>
      <w:bookmarkStart w:id="4" w:name="OLE_LINK20"/>
      <w:r>
        <w:rPr>
          <w:rFonts w:hint="eastAsia"/>
          <w:szCs w:val="21"/>
        </w:rPr>
        <w:t>口服。一次5粒，一日3次。</w:t>
      </w:r>
      <w:bookmarkEnd w:id="2"/>
      <w:bookmarkEnd w:id="3"/>
      <w:bookmarkEnd w:id="4"/>
    </w:p>
    <w:p w14:paraId="351C5898">
      <w:pPr>
        <w:spacing w:line="280" w:lineRule="exact"/>
        <w:rPr>
          <w:szCs w:val="21"/>
        </w:rPr>
      </w:pPr>
      <w:r>
        <w:rPr>
          <w:szCs w:val="21"/>
        </w:rPr>
        <w:t>[不良反应]监测数据显示，</w:t>
      </w:r>
      <w:r>
        <w:rPr>
          <w:rFonts w:hint="eastAsia"/>
          <w:szCs w:val="21"/>
        </w:rPr>
        <w:t>本品可见以下不良反应报告</w:t>
      </w:r>
      <w:r>
        <w:rPr>
          <w:szCs w:val="21"/>
        </w:rPr>
        <w:t>：</w:t>
      </w:r>
      <w:r>
        <w:rPr>
          <w:rFonts w:hint="eastAsia"/>
          <w:szCs w:val="21"/>
        </w:rPr>
        <w:t>恶心、呕吐、口干、腹痛、腹泻、皮疹、瘙痒、头晕、头痛等。</w:t>
      </w:r>
    </w:p>
    <w:p w14:paraId="7D67CBF7">
      <w:pPr>
        <w:spacing w:line="240" w:lineRule="atLeast"/>
        <w:rPr>
          <w:rFonts w:ascii="宋体" w:hAnsi="宋体"/>
          <w:b/>
          <w:bCs/>
          <w:szCs w:val="21"/>
        </w:rPr>
      </w:pPr>
      <w:r>
        <w:rPr>
          <w:rFonts w:ascii="宋体" w:hAnsi="宋体"/>
          <w:b/>
          <w:bCs/>
          <w:szCs w:val="21"/>
        </w:rPr>
        <w:t>[禁忌]</w:t>
      </w:r>
    </w:p>
    <w:p w14:paraId="7CCB63B5">
      <w:pPr>
        <w:spacing w:line="0" w:lineRule="atLeas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1.孕妇禁服。</w:t>
      </w:r>
    </w:p>
    <w:p w14:paraId="189E9135">
      <w:pPr>
        <w:spacing w:line="0" w:lineRule="atLeas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2.</w:t>
      </w:r>
      <w:r>
        <w:rPr>
          <w:b/>
          <w:bCs/>
          <w:szCs w:val="21"/>
        </w:rPr>
        <w:t>对本品及所含成份过敏者禁用</w:t>
      </w:r>
      <w:r>
        <w:rPr>
          <w:rFonts w:hint="eastAsia"/>
          <w:b/>
          <w:bCs/>
          <w:szCs w:val="21"/>
        </w:rPr>
        <w:t>。</w:t>
      </w:r>
    </w:p>
    <w:p w14:paraId="133D9671">
      <w:pPr>
        <w:spacing w:line="0" w:lineRule="atLeast"/>
        <w:rPr>
          <w:b/>
          <w:bCs/>
          <w:szCs w:val="21"/>
        </w:rPr>
      </w:pPr>
      <w:r>
        <w:rPr>
          <w:b/>
          <w:bCs/>
          <w:szCs w:val="21"/>
        </w:rPr>
        <w:t>[注意事项]</w:t>
      </w:r>
    </w:p>
    <w:p w14:paraId="716E9595">
      <w:pPr>
        <w:spacing w:line="0" w:lineRule="atLeas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1</w:t>
      </w:r>
      <w:r>
        <w:rPr>
          <w:b/>
          <w:bCs/>
          <w:szCs w:val="21"/>
        </w:rPr>
        <w:t>.</w:t>
      </w:r>
      <w:r>
        <w:rPr>
          <w:rFonts w:hint="eastAsia"/>
          <w:b/>
          <w:bCs/>
          <w:szCs w:val="21"/>
        </w:rPr>
        <w:t>忌食寒凉、生冷食物。</w:t>
      </w:r>
    </w:p>
    <w:p w14:paraId="65526439">
      <w:pPr>
        <w:spacing w:line="0" w:lineRule="atLeas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2</w:t>
      </w:r>
      <w:r>
        <w:rPr>
          <w:b/>
          <w:bCs/>
          <w:szCs w:val="21"/>
        </w:rPr>
        <w:t>.</w:t>
      </w:r>
      <w:r>
        <w:rPr>
          <w:rFonts w:hint="eastAsia"/>
          <w:b/>
          <w:bCs/>
          <w:szCs w:val="21"/>
        </w:rPr>
        <w:t>感冒时不宜服用本品。</w:t>
      </w:r>
    </w:p>
    <w:p w14:paraId="0F2C11D4">
      <w:pPr>
        <w:spacing w:line="0" w:lineRule="atLeas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3</w:t>
      </w:r>
      <w:r>
        <w:rPr>
          <w:b/>
          <w:bCs/>
          <w:szCs w:val="21"/>
        </w:rPr>
        <w:t>.</w:t>
      </w:r>
      <w:r>
        <w:rPr>
          <w:rFonts w:hint="eastAsia"/>
          <w:b/>
          <w:bCs/>
          <w:szCs w:val="21"/>
        </w:rPr>
        <w:t>月经过多者不宜服用本品。</w:t>
      </w:r>
    </w:p>
    <w:p w14:paraId="5AB4E6C8">
      <w:pPr>
        <w:spacing w:line="0" w:lineRule="atLeas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4</w:t>
      </w:r>
      <w:r>
        <w:rPr>
          <w:b/>
          <w:bCs/>
          <w:szCs w:val="21"/>
        </w:rPr>
        <w:t>.</w:t>
      </w:r>
      <w:r>
        <w:rPr>
          <w:rFonts w:hint="eastAsia"/>
          <w:b/>
          <w:bCs/>
          <w:szCs w:val="21"/>
        </w:rPr>
        <w:t>青春期少女及更年期妇女应在医师指导下服用。</w:t>
      </w:r>
    </w:p>
    <w:p w14:paraId="6B7B2C0F">
      <w:pPr>
        <w:spacing w:line="0" w:lineRule="atLeas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5</w:t>
      </w:r>
      <w:r>
        <w:rPr>
          <w:b/>
          <w:bCs/>
          <w:szCs w:val="21"/>
        </w:rPr>
        <w:t>.</w:t>
      </w:r>
      <w:r>
        <w:rPr>
          <w:rFonts w:hint="eastAsia"/>
          <w:b/>
          <w:bCs/>
          <w:szCs w:val="21"/>
        </w:rPr>
        <w:t>如有生育要求者应在医师指导下服用。</w:t>
      </w:r>
    </w:p>
    <w:p w14:paraId="4AB9F00A">
      <w:pPr>
        <w:spacing w:line="0" w:lineRule="atLeas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6</w:t>
      </w:r>
      <w:r>
        <w:rPr>
          <w:b/>
          <w:bCs/>
          <w:szCs w:val="21"/>
        </w:rPr>
        <w:t>.</w:t>
      </w:r>
      <w:r>
        <w:rPr>
          <w:rFonts w:hint="eastAsia"/>
          <w:b/>
          <w:bCs/>
          <w:szCs w:val="21"/>
        </w:rPr>
        <w:t>平素月经正常，突然出现月经量少，或月经错后，或阴道不规则出血应去医院就诊。</w:t>
      </w:r>
    </w:p>
    <w:p w14:paraId="6078D425">
      <w:pPr>
        <w:spacing w:line="0" w:lineRule="atLeas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7</w:t>
      </w:r>
      <w:r>
        <w:rPr>
          <w:b/>
          <w:bCs/>
          <w:szCs w:val="21"/>
        </w:rPr>
        <w:t>.</w:t>
      </w:r>
      <w:r>
        <w:rPr>
          <w:rFonts w:hint="eastAsia"/>
          <w:b/>
          <w:bCs/>
          <w:szCs w:val="21"/>
        </w:rPr>
        <w:t>服药后痛经不减轻或重度痛经者，应去医院就诊。</w:t>
      </w:r>
    </w:p>
    <w:p w14:paraId="5924416B">
      <w:pPr>
        <w:spacing w:line="0" w:lineRule="atLeas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8</w:t>
      </w:r>
      <w:r>
        <w:rPr>
          <w:b/>
          <w:bCs/>
          <w:szCs w:val="21"/>
        </w:rPr>
        <w:t>.</w:t>
      </w:r>
      <w:r>
        <w:rPr>
          <w:rFonts w:hint="eastAsia"/>
          <w:b/>
          <w:bCs/>
          <w:szCs w:val="21"/>
        </w:rPr>
        <w:t>按照用法用量服用，服药超过2周应咨询医师。</w:t>
      </w:r>
    </w:p>
    <w:p w14:paraId="4DB9CCE0">
      <w:pPr>
        <w:spacing w:line="0" w:lineRule="atLeas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9</w:t>
      </w:r>
      <w:r>
        <w:rPr>
          <w:b/>
          <w:bCs/>
          <w:szCs w:val="21"/>
        </w:rPr>
        <w:t>.</w:t>
      </w:r>
      <w:r>
        <w:rPr>
          <w:rFonts w:hint="eastAsia"/>
          <w:b/>
          <w:bCs/>
          <w:szCs w:val="21"/>
        </w:rPr>
        <w:t>服药2周症状无改善，应去医院就诊。</w:t>
      </w:r>
    </w:p>
    <w:p w14:paraId="1A00BF82">
      <w:pPr>
        <w:spacing w:line="0" w:lineRule="atLeas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1</w:t>
      </w:r>
      <w:r>
        <w:rPr>
          <w:b/>
          <w:bCs/>
          <w:szCs w:val="21"/>
        </w:rPr>
        <w:t>0.</w:t>
      </w:r>
      <w:r>
        <w:rPr>
          <w:rFonts w:hint="eastAsia"/>
          <w:b/>
          <w:bCs/>
          <w:szCs w:val="21"/>
        </w:rPr>
        <w:t>过敏体质者慎用。</w:t>
      </w:r>
    </w:p>
    <w:p w14:paraId="5A7E1475">
      <w:pPr>
        <w:spacing w:line="0" w:lineRule="atLeas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1</w:t>
      </w:r>
      <w:r>
        <w:rPr>
          <w:b/>
          <w:bCs/>
          <w:szCs w:val="21"/>
        </w:rPr>
        <w:t>1.</w:t>
      </w:r>
      <w:r>
        <w:rPr>
          <w:rFonts w:hint="eastAsia"/>
          <w:b/>
          <w:bCs/>
          <w:szCs w:val="21"/>
        </w:rPr>
        <w:t>本品性状发生改变时禁止使用。</w:t>
      </w:r>
    </w:p>
    <w:p w14:paraId="706D5C24">
      <w:pPr>
        <w:spacing w:line="0" w:lineRule="atLeas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1</w:t>
      </w:r>
      <w:r>
        <w:rPr>
          <w:b/>
          <w:bCs/>
          <w:szCs w:val="21"/>
        </w:rPr>
        <w:t>2.</w:t>
      </w:r>
      <w:r>
        <w:rPr>
          <w:rFonts w:hint="eastAsia"/>
          <w:b/>
          <w:bCs/>
          <w:szCs w:val="21"/>
        </w:rPr>
        <w:t>请将本品放在儿童不能接触的地方。</w:t>
      </w:r>
    </w:p>
    <w:p w14:paraId="75910959">
      <w:pPr>
        <w:spacing w:line="0" w:lineRule="atLeas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1</w:t>
      </w:r>
      <w:r>
        <w:rPr>
          <w:b/>
          <w:bCs/>
          <w:szCs w:val="21"/>
        </w:rPr>
        <w:t>3.</w:t>
      </w:r>
      <w:r>
        <w:rPr>
          <w:rFonts w:hint="eastAsia"/>
          <w:b/>
          <w:bCs/>
          <w:szCs w:val="21"/>
        </w:rPr>
        <w:t>如正在使用其他药品，使用本品前请咨询医师或药师。</w:t>
      </w:r>
    </w:p>
    <w:p w14:paraId="2958A6E8">
      <w:pPr>
        <w:spacing w:line="280" w:lineRule="exact"/>
        <w:rPr>
          <w:szCs w:val="21"/>
        </w:rPr>
      </w:pPr>
      <w:r>
        <w:rPr>
          <w:szCs w:val="21"/>
        </w:rPr>
        <w:t>[药物相互作用]如与其他药物同时使用可能会发生药物相互作用，详情请咨询医师或药师。</w:t>
      </w:r>
    </w:p>
    <w:p w14:paraId="5CD5FAED">
      <w:pPr>
        <w:spacing w:line="280" w:lineRule="exact"/>
        <w:rPr>
          <w:szCs w:val="21"/>
        </w:rPr>
      </w:pPr>
      <w:r>
        <w:rPr>
          <w:szCs w:val="21"/>
        </w:rPr>
        <w:t>[</w:t>
      </w:r>
      <w:r>
        <w:rPr>
          <w:rFonts w:hint="eastAsia"/>
          <w:szCs w:val="21"/>
        </w:rPr>
        <w:t>贮藏</w:t>
      </w:r>
      <w:r>
        <w:rPr>
          <w:szCs w:val="21"/>
        </w:rPr>
        <w:t xml:space="preserve">] </w:t>
      </w:r>
      <w:r>
        <w:rPr>
          <w:szCs w:val="21"/>
        </w:rPr>
        <w:br w:type="textWrapping"/>
      </w:r>
      <w:r>
        <w:rPr>
          <w:szCs w:val="21"/>
        </w:rPr>
        <w:t>[</w:t>
      </w:r>
      <w:r>
        <w:rPr>
          <w:rFonts w:hint="eastAsia"/>
          <w:szCs w:val="21"/>
        </w:rPr>
        <w:t>包装</w:t>
      </w:r>
      <w:r>
        <w:rPr>
          <w:szCs w:val="21"/>
        </w:rPr>
        <w:t>]</w:t>
      </w:r>
      <w:r>
        <w:rPr>
          <w:szCs w:val="21"/>
        </w:rPr>
        <w:br w:type="textWrapping"/>
      </w:r>
      <w:r>
        <w:rPr>
          <w:szCs w:val="21"/>
        </w:rPr>
        <w:t>[</w:t>
      </w:r>
      <w:r>
        <w:rPr>
          <w:rFonts w:hint="eastAsia"/>
          <w:szCs w:val="21"/>
        </w:rPr>
        <w:t>有效期</w:t>
      </w:r>
      <w:r>
        <w:rPr>
          <w:szCs w:val="21"/>
        </w:rPr>
        <w:t>]</w:t>
      </w:r>
      <w:r>
        <w:rPr>
          <w:szCs w:val="21"/>
        </w:rPr>
        <w:br w:type="textWrapping"/>
      </w:r>
      <w:r>
        <w:rPr>
          <w:szCs w:val="21"/>
        </w:rPr>
        <w:t>[</w:t>
      </w:r>
      <w:r>
        <w:rPr>
          <w:rFonts w:hint="eastAsia"/>
          <w:szCs w:val="21"/>
        </w:rPr>
        <w:t>执行标准</w:t>
      </w:r>
      <w:r>
        <w:rPr>
          <w:szCs w:val="21"/>
        </w:rPr>
        <w:t>]</w:t>
      </w:r>
      <w:r>
        <w:rPr>
          <w:szCs w:val="21"/>
        </w:rPr>
        <w:br w:type="textWrapping"/>
      </w:r>
      <w:r>
        <w:rPr>
          <w:szCs w:val="21"/>
        </w:rPr>
        <w:t>[</w:t>
      </w:r>
      <w:r>
        <w:rPr>
          <w:rFonts w:hint="eastAsia"/>
          <w:szCs w:val="21"/>
        </w:rPr>
        <w:t>批准文号</w:t>
      </w:r>
      <w:r>
        <w:rPr>
          <w:szCs w:val="21"/>
        </w:rPr>
        <w:t>]</w:t>
      </w:r>
      <w:r>
        <w:rPr>
          <w:szCs w:val="21"/>
        </w:rPr>
        <w:br w:type="textWrapping"/>
      </w:r>
      <w:r>
        <w:rPr>
          <w:szCs w:val="21"/>
        </w:rPr>
        <w:t>[</w:t>
      </w:r>
      <w:r>
        <w:rPr>
          <w:rFonts w:hint="eastAsia"/>
          <w:szCs w:val="21"/>
        </w:rPr>
        <w:t>说明书修订日期</w:t>
      </w:r>
      <w:r>
        <w:rPr>
          <w:szCs w:val="21"/>
        </w:rPr>
        <w:t>]</w:t>
      </w:r>
      <w:r>
        <w:rPr>
          <w:szCs w:val="21"/>
        </w:rPr>
        <w:br w:type="textWrapping"/>
      </w:r>
      <w:r>
        <w:rPr>
          <w:szCs w:val="21"/>
        </w:rPr>
        <w:t>[</w:t>
      </w:r>
      <w:r>
        <w:rPr>
          <w:rFonts w:hint="eastAsia"/>
          <w:szCs w:val="21"/>
        </w:rPr>
        <w:t>药品上市许可持有人</w:t>
      </w:r>
      <w:r>
        <w:rPr>
          <w:szCs w:val="21"/>
        </w:rPr>
        <w:t>]</w:t>
      </w:r>
    </w:p>
    <w:p w14:paraId="30398371">
      <w:pPr>
        <w:spacing w:line="280" w:lineRule="exact"/>
        <w:rPr>
          <w:b/>
          <w:szCs w:val="21"/>
        </w:rPr>
      </w:pPr>
      <w:r>
        <w:rPr>
          <w:rFonts w:hint="eastAsia"/>
          <w:szCs w:val="21"/>
        </w:rPr>
        <w:t>名</w:t>
      </w:r>
      <w:r>
        <w:rPr>
          <w:szCs w:val="21"/>
        </w:rPr>
        <w:t xml:space="preserve">   </w:t>
      </w:r>
      <w:r>
        <w:rPr>
          <w:rFonts w:hint="eastAsia"/>
          <w:szCs w:val="21"/>
        </w:rPr>
        <w:t>称：</w:t>
      </w:r>
      <w:r>
        <w:rPr>
          <w:szCs w:val="21"/>
        </w:rPr>
        <w:t xml:space="preserve"> </w:t>
      </w:r>
      <w:r>
        <w:rPr>
          <w:szCs w:val="21"/>
        </w:rPr>
        <w:br w:type="textWrapping"/>
      </w:r>
      <w:r>
        <w:rPr>
          <w:rFonts w:hint="eastAsia"/>
          <w:szCs w:val="21"/>
        </w:rPr>
        <w:t>注册地址：</w:t>
      </w:r>
      <w:r>
        <w:rPr>
          <w:szCs w:val="21"/>
        </w:rPr>
        <w:br w:type="textWrapping"/>
      </w:r>
      <w:r>
        <w:rPr>
          <w:rFonts w:hint="eastAsia"/>
          <w:szCs w:val="21"/>
        </w:rPr>
        <w:t>邮政编码：</w:t>
      </w:r>
      <w:r>
        <w:rPr>
          <w:szCs w:val="21"/>
        </w:rPr>
        <w:br w:type="textWrapping"/>
      </w:r>
      <w:r>
        <w:rPr>
          <w:rFonts w:hint="eastAsia"/>
          <w:szCs w:val="21"/>
        </w:rPr>
        <w:t>电话号码：</w:t>
      </w:r>
      <w:r>
        <w:rPr>
          <w:szCs w:val="21"/>
        </w:rPr>
        <w:br w:type="textWrapping"/>
      </w:r>
      <w:r>
        <w:rPr>
          <w:rFonts w:hint="eastAsia"/>
          <w:szCs w:val="21"/>
        </w:rPr>
        <w:t>传真号码：</w:t>
      </w:r>
      <w:r>
        <w:rPr>
          <w:szCs w:val="21"/>
        </w:rPr>
        <w:br w:type="textWrapping"/>
      </w:r>
      <w:r>
        <w:rPr>
          <w:rFonts w:hint="eastAsia"/>
          <w:szCs w:val="21"/>
        </w:rPr>
        <w:t>网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址：</w:t>
      </w:r>
      <w:r>
        <w:rPr>
          <w:szCs w:val="21"/>
        </w:rPr>
        <w:br w:type="textWrapping"/>
      </w:r>
      <w:r>
        <w:rPr>
          <w:szCs w:val="21"/>
        </w:rPr>
        <w:t>[</w:t>
      </w:r>
      <w:r>
        <w:rPr>
          <w:rFonts w:hint="eastAsia"/>
          <w:szCs w:val="21"/>
        </w:rPr>
        <w:t>生产企业</w:t>
      </w:r>
      <w:r>
        <w:rPr>
          <w:szCs w:val="21"/>
        </w:rPr>
        <w:t>]</w:t>
      </w:r>
      <w:r>
        <w:rPr>
          <w:szCs w:val="21"/>
        </w:rPr>
        <w:br w:type="textWrapping"/>
      </w:r>
      <w:r>
        <w:rPr>
          <w:rFonts w:hint="eastAsia"/>
          <w:szCs w:val="21"/>
        </w:rPr>
        <w:t>企业名称：</w:t>
      </w:r>
      <w:r>
        <w:rPr>
          <w:szCs w:val="21"/>
        </w:rPr>
        <w:t xml:space="preserve"> </w:t>
      </w:r>
      <w:r>
        <w:rPr>
          <w:szCs w:val="21"/>
        </w:rPr>
        <w:br w:type="textWrapping"/>
      </w:r>
      <w:r>
        <w:rPr>
          <w:rFonts w:hint="eastAsia"/>
          <w:szCs w:val="21"/>
        </w:rPr>
        <w:t>生产地址：</w:t>
      </w:r>
      <w:r>
        <w:rPr>
          <w:szCs w:val="21"/>
        </w:rPr>
        <w:br w:type="textWrapping"/>
      </w:r>
      <w:r>
        <w:rPr>
          <w:rFonts w:hint="eastAsia"/>
          <w:b/>
          <w:szCs w:val="21"/>
        </w:rPr>
        <w:t>如有问题可与药品上市许可持有人联系。</w:t>
      </w:r>
    </w:p>
    <w:p w14:paraId="29CB5553">
      <w:pPr>
        <w:spacing w:line="0" w:lineRule="atLeast"/>
        <w:rPr>
          <w:b/>
          <w:kern w:val="0"/>
          <w:lang w:bidi="ar"/>
        </w:rPr>
      </w:pPr>
    </w:p>
    <w:p w14:paraId="73E13D3F">
      <w:pPr>
        <w:ind w:left="289" w:leftChars="88" w:hanging="105" w:hangingChars="50"/>
        <w:rPr>
          <w:szCs w:val="21"/>
        </w:rPr>
      </w:pPr>
    </w:p>
    <w:p w14:paraId="0ABC75FA">
      <w:pPr>
        <w:rPr>
          <w:szCs w:val="21"/>
        </w:rPr>
      </w:pPr>
      <w:r>
        <w:rPr>
          <w:rFonts w:hint="eastAsia"/>
          <w:szCs w:val="21"/>
        </w:rPr>
        <w:t>（注：本说明书范本原则上不得删减，如原批准说明书的安全性内容较本范本内容更全面或者更严格的，应当保留原批准内容。）</w:t>
      </w:r>
    </w:p>
    <w:p w14:paraId="3540CBA3"/>
    <w:p w14:paraId="6F22A2DB">
      <w:pPr>
        <w:rPr>
          <w:rFonts w:ascii="Calibri" w:hAnsi="Calibri"/>
          <w:color w:val="000000"/>
          <w:szCs w:val="21"/>
        </w:rPr>
      </w:pPr>
    </w:p>
    <w:p w14:paraId="01E6704D">
      <w:pPr>
        <w:keepNext/>
        <w:keepLines/>
        <w:spacing w:before="260" w:after="260" w:line="408" w:lineRule="auto"/>
        <w:jc w:val="center"/>
        <w:outlineLvl w:val="1"/>
        <w:rPr>
          <w:rFonts w:ascii="宋体" w:hAnsi="宋体" w:cs="宋体"/>
          <w:b/>
          <w:sz w:val="30"/>
          <w:szCs w:val="20"/>
        </w:rPr>
      </w:pPr>
      <w:r>
        <w:rPr>
          <w:rFonts w:hint="eastAsia" w:ascii="宋体" w:hAnsi="宋体" w:cs="宋体"/>
          <w:b/>
          <w:sz w:val="30"/>
          <w:szCs w:val="20"/>
        </w:rPr>
        <w:br w:type="page"/>
      </w:r>
      <w:r>
        <w:rPr>
          <w:rFonts w:hint="eastAsia" w:ascii="宋体" w:hAnsi="宋体" w:cs="宋体"/>
          <w:b/>
          <w:sz w:val="30"/>
          <w:szCs w:val="20"/>
        </w:rPr>
        <w:t>排毒养颜片说明书</w:t>
      </w:r>
    </w:p>
    <w:p w14:paraId="3BDDFB6E">
      <w:pPr>
        <w:spacing w:line="0" w:lineRule="atLeast"/>
        <w:jc w:val="center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请仔细阅读说明书并按说明使用或在药师指导下购买和使用</w:t>
      </w:r>
    </w:p>
    <w:p w14:paraId="4C93913A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药品名称</w:t>
      </w:r>
      <w:r>
        <w:rPr>
          <w:rFonts w:ascii="宋体" w:hAnsi="宋体"/>
          <w:szCs w:val="21"/>
        </w:rPr>
        <w:t>]</w:t>
      </w:r>
    </w:p>
    <w:p w14:paraId="31B3172D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通用名称：排毒养颜片</w:t>
      </w:r>
    </w:p>
    <w:p w14:paraId="0BF3E80B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汉语拼音：</w:t>
      </w:r>
    </w:p>
    <w:p w14:paraId="3B80E9CA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成份</w:t>
      </w:r>
      <w:r>
        <w:rPr>
          <w:rFonts w:ascii="宋体" w:hAnsi="宋体"/>
          <w:szCs w:val="21"/>
        </w:rPr>
        <w:t>]</w:t>
      </w:r>
    </w:p>
    <w:p w14:paraId="58EF51EB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性状</w:t>
      </w:r>
      <w:r>
        <w:rPr>
          <w:rFonts w:ascii="宋体" w:hAnsi="宋体"/>
          <w:szCs w:val="21"/>
        </w:rPr>
        <w:t>]</w:t>
      </w:r>
    </w:p>
    <w:p w14:paraId="5627681E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功能主治</w:t>
      </w:r>
      <w:r>
        <w:rPr>
          <w:rFonts w:ascii="宋体" w:hAnsi="宋体"/>
          <w:szCs w:val="21"/>
        </w:rPr>
        <w:t>]</w:t>
      </w:r>
      <w:r>
        <w:rPr>
          <w:rFonts w:hint="eastAsia" w:ascii="宋体" w:hAnsi="宋体"/>
          <w:szCs w:val="21"/>
        </w:rPr>
        <w:t>益气活血，通便排毒。用于气虚血瘀，热毒内盛所致便秘、痤疮、颜面色斑。</w:t>
      </w:r>
    </w:p>
    <w:p w14:paraId="1F006B54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规格</w:t>
      </w:r>
      <w:r>
        <w:rPr>
          <w:rFonts w:ascii="宋体" w:hAnsi="宋体"/>
          <w:szCs w:val="21"/>
        </w:rPr>
        <w:t>]</w:t>
      </w:r>
      <w:r>
        <w:rPr>
          <w:rFonts w:hint="eastAsia" w:ascii="宋体" w:hAnsi="宋体"/>
          <w:szCs w:val="21"/>
        </w:rPr>
        <w:t>每片重0.56克（相当于饮片1.04克）</w:t>
      </w:r>
    </w:p>
    <w:p w14:paraId="53848442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用法用量</w:t>
      </w:r>
      <w:r>
        <w:rPr>
          <w:rFonts w:ascii="宋体" w:hAnsi="宋体"/>
          <w:szCs w:val="21"/>
        </w:rPr>
        <w:t>]</w:t>
      </w:r>
      <w:r>
        <w:rPr>
          <w:rFonts w:hint="eastAsia" w:ascii="宋体" w:hAnsi="宋体"/>
          <w:szCs w:val="21"/>
        </w:rPr>
        <w:t>(1)便秘、排便不爽者，1次3～6片，一日2次，根据大便情况酌情加减药量，以大便通畅，每天1～2次为宜。(2)大便一日一次者，以1片起服，每日服1～2次，根据大便情况逐渐加量至大便通畅，每天1～2次为宜。</w:t>
      </w:r>
    </w:p>
    <w:p w14:paraId="2566E2B6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不良反应</w:t>
      </w:r>
      <w:r>
        <w:rPr>
          <w:rFonts w:ascii="宋体" w:hAnsi="宋体"/>
          <w:szCs w:val="21"/>
        </w:rPr>
        <w:t>]</w:t>
      </w:r>
      <w:r>
        <w:rPr>
          <w:rFonts w:hint="eastAsia" w:ascii="宋体" w:hAnsi="宋体"/>
          <w:szCs w:val="21"/>
        </w:rPr>
        <w:t>监测数据显示，本品可见以下不良反应报告：腹泻、腹痛、恶心、呕吐、腹部不适、口干、排便频率增加、瘙痒、皮疹、头晕、头痛、乏力、心悸、过敏反应等。有肝生化指标异常的个例报告。</w:t>
      </w:r>
    </w:p>
    <w:p w14:paraId="7CACEC86">
      <w:pPr>
        <w:spacing w:line="0" w:lineRule="atLeas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[禁忌]</w:t>
      </w:r>
    </w:p>
    <w:p w14:paraId="62E94DA5">
      <w:pPr>
        <w:spacing w:line="0" w:lineRule="atLeas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1．孕妇忌服。</w:t>
      </w:r>
    </w:p>
    <w:p w14:paraId="70D15335">
      <w:pPr>
        <w:spacing w:line="0" w:lineRule="atLeas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2．对本品及所含成份过敏者禁用。</w:t>
      </w:r>
    </w:p>
    <w:p w14:paraId="3CFC1FA6">
      <w:pPr>
        <w:spacing w:line="0" w:lineRule="atLeas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[注意事项]</w:t>
      </w:r>
    </w:p>
    <w:p w14:paraId="3E683E48">
      <w:pPr>
        <w:spacing w:line="0" w:lineRule="atLeas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1．服药期间忌食生冷、辛辣油腻之物。</w:t>
      </w:r>
    </w:p>
    <w:p w14:paraId="444DE478">
      <w:pPr>
        <w:spacing w:line="0" w:lineRule="atLeast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2</w:t>
      </w:r>
      <w:r>
        <w:rPr>
          <w:rFonts w:hint="eastAsia" w:ascii="宋体" w:hAnsi="宋体"/>
          <w:b/>
          <w:szCs w:val="21"/>
        </w:rPr>
        <w:t>．严格按照用法用量服用，本品不宜长期或超量服用。</w:t>
      </w:r>
    </w:p>
    <w:p w14:paraId="5244F14C">
      <w:pPr>
        <w:spacing w:line="0" w:lineRule="atLeast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3</w:t>
      </w:r>
      <w:r>
        <w:rPr>
          <w:rFonts w:hint="eastAsia" w:ascii="宋体" w:hAnsi="宋体"/>
          <w:b/>
          <w:szCs w:val="21"/>
        </w:rPr>
        <w:t>．哺乳期妇女、年老体弱者，应在医师指导下服用。</w:t>
      </w:r>
    </w:p>
    <w:p w14:paraId="464B1FA8">
      <w:pPr>
        <w:spacing w:line="0" w:lineRule="atLeas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4．高血压、心脏病、肝病、糖尿病、肾病等患者应在医师指导下服用。</w:t>
      </w:r>
    </w:p>
    <w:p w14:paraId="702ECA85">
      <w:pPr>
        <w:spacing w:line="0" w:lineRule="atLeas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 xml:space="preserve">5．服药后症状无改善，或症状加重，或出现新的严重症状者，应立即停药并到医院就诊。 </w:t>
      </w:r>
    </w:p>
    <w:p w14:paraId="1F15AFD2">
      <w:pPr>
        <w:spacing w:line="0" w:lineRule="atLeast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6</w:t>
      </w:r>
      <w:r>
        <w:rPr>
          <w:rFonts w:hint="eastAsia" w:ascii="宋体" w:hAnsi="宋体"/>
          <w:b/>
          <w:szCs w:val="21"/>
        </w:rPr>
        <w:t xml:space="preserve">．服本品同时不宜服用含藜芦、五灵脂、皂荚的中药方剂或成药，不宜喝茶和吃萝卜以免影响药效。 </w:t>
      </w:r>
    </w:p>
    <w:p w14:paraId="10AEA4E8">
      <w:pPr>
        <w:spacing w:line="0" w:lineRule="atLeast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7</w:t>
      </w:r>
      <w:r>
        <w:rPr>
          <w:rFonts w:hint="eastAsia" w:ascii="宋体" w:hAnsi="宋体"/>
          <w:b/>
          <w:szCs w:val="21"/>
        </w:rPr>
        <w:t>．过敏体质者慎用。</w:t>
      </w:r>
    </w:p>
    <w:p w14:paraId="15CF4A63">
      <w:pPr>
        <w:spacing w:line="0" w:lineRule="atLeast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8</w:t>
      </w:r>
      <w:r>
        <w:rPr>
          <w:rFonts w:hint="eastAsia" w:ascii="宋体" w:hAnsi="宋体"/>
          <w:b/>
          <w:szCs w:val="21"/>
        </w:rPr>
        <w:t xml:space="preserve">．本品性状发生改变时禁止使用。 </w:t>
      </w:r>
    </w:p>
    <w:p w14:paraId="57BC253C">
      <w:pPr>
        <w:spacing w:line="0" w:lineRule="atLeast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9</w:t>
      </w:r>
      <w:r>
        <w:rPr>
          <w:rFonts w:hint="eastAsia" w:ascii="宋体" w:hAnsi="宋体"/>
          <w:b/>
          <w:szCs w:val="21"/>
        </w:rPr>
        <w:t xml:space="preserve">．请将本品放在儿童不能接触的地方。 </w:t>
      </w:r>
    </w:p>
    <w:p w14:paraId="46A67166">
      <w:pPr>
        <w:spacing w:line="0" w:lineRule="atLeast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10</w:t>
      </w:r>
      <w:r>
        <w:rPr>
          <w:rFonts w:hint="eastAsia" w:ascii="宋体" w:hAnsi="宋体"/>
          <w:b/>
          <w:szCs w:val="21"/>
        </w:rPr>
        <w:t>．如正在使用其他药品，使用本品前请咨询医师或药师。</w:t>
      </w:r>
    </w:p>
    <w:p w14:paraId="7A9D74F4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[药物相互作用]如与其他药物同时使用可能会发生药物相互作用，详情请咨询医师或药师</w:t>
      </w:r>
      <w:r>
        <w:rPr>
          <w:rFonts w:hint="eastAsia" w:ascii="宋体" w:hAnsi="宋体"/>
          <w:szCs w:val="21"/>
        </w:rPr>
        <w:t>。</w:t>
      </w:r>
    </w:p>
    <w:p w14:paraId="6478C4B0">
      <w:pPr>
        <w:spacing w:line="0" w:lineRule="atLeas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贮藏</w:t>
      </w:r>
      <w:r>
        <w:rPr>
          <w:rFonts w:ascii="宋体" w:hAnsi="宋体"/>
          <w:szCs w:val="21"/>
        </w:rPr>
        <w:t xml:space="preserve">] </w:t>
      </w:r>
      <w:r>
        <w:rPr>
          <w:rFonts w:ascii="宋体" w:hAnsi="宋体"/>
          <w:szCs w:val="21"/>
        </w:rPr>
        <w:br w:type="textWrapping"/>
      </w: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包装</w:t>
      </w:r>
      <w:r>
        <w:rPr>
          <w:rFonts w:ascii="宋体" w:hAnsi="宋体"/>
          <w:szCs w:val="21"/>
        </w:rPr>
        <w:t>]</w:t>
      </w:r>
      <w:r>
        <w:rPr>
          <w:rFonts w:ascii="宋体" w:hAnsi="宋体"/>
          <w:szCs w:val="21"/>
        </w:rPr>
        <w:br w:type="textWrapping"/>
      </w: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有效期</w:t>
      </w:r>
      <w:r>
        <w:rPr>
          <w:rFonts w:ascii="宋体" w:hAnsi="宋体"/>
          <w:szCs w:val="21"/>
        </w:rPr>
        <w:t>]</w:t>
      </w:r>
      <w:r>
        <w:rPr>
          <w:rFonts w:ascii="宋体" w:hAnsi="宋体"/>
          <w:szCs w:val="21"/>
        </w:rPr>
        <w:br w:type="textWrapping"/>
      </w: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执行标准</w:t>
      </w:r>
      <w:r>
        <w:rPr>
          <w:rFonts w:ascii="宋体" w:hAnsi="宋体"/>
          <w:szCs w:val="21"/>
        </w:rPr>
        <w:t>]</w:t>
      </w:r>
      <w:r>
        <w:rPr>
          <w:rFonts w:ascii="宋体" w:hAnsi="宋体"/>
          <w:szCs w:val="21"/>
        </w:rPr>
        <w:br w:type="textWrapping"/>
      </w: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批准文号</w:t>
      </w:r>
      <w:r>
        <w:rPr>
          <w:rFonts w:ascii="宋体" w:hAnsi="宋体"/>
          <w:szCs w:val="21"/>
        </w:rPr>
        <w:t>]</w:t>
      </w:r>
      <w:r>
        <w:rPr>
          <w:rFonts w:ascii="宋体" w:hAnsi="宋体"/>
          <w:szCs w:val="21"/>
        </w:rPr>
        <w:br w:type="textWrapping"/>
      </w: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说明书修订日期</w:t>
      </w:r>
      <w:r>
        <w:rPr>
          <w:rFonts w:ascii="宋体" w:hAnsi="宋体"/>
          <w:szCs w:val="21"/>
        </w:rPr>
        <w:t>]</w:t>
      </w:r>
      <w:r>
        <w:rPr>
          <w:rFonts w:ascii="宋体" w:hAnsi="宋体"/>
          <w:szCs w:val="21"/>
        </w:rPr>
        <w:br w:type="textWrapping"/>
      </w: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药品上市许可持有人</w:t>
      </w:r>
      <w:r>
        <w:rPr>
          <w:rFonts w:ascii="宋体" w:hAnsi="宋体"/>
          <w:szCs w:val="21"/>
        </w:rPr>
        <w:t>]</w:t>
      </w:r>
    </w:p>
    <w:p w14:paraId="5C86AAF6">
      <w:pPr>
        <w:spacing w:line="0" w:lineRule="atLeast"/>
        <w:rPr>
          <w:rFonts w:ascii="宋体" w:hAnsi="宋体"/>
          <w:b/>
          <w:szCs w:val="21"/>
        </w:rPr>
      </w:pPr>
      <w:r>
        <w:rPr>
          <w:rFonts w:hint="eastAsia" w:ascii="宋体" w:hAnsi="宋体"/>
          <w:szCs w:val="21"/>
        </w:rPr>
        <w:t>名</w:t>
      </w:r>
      <w:r>
        <w:rPr>
          <w:rFonts w:ascii="宋体" w:hAnsi="宋体"/>
          <w:szCs w:val="21"/>
        </w:rPr>
        <w:t xml:space="preserve">   </w:t>
      </w:r>
      <w:r>
        <w:rPr>
          <w:rFonts w:hint="eastAsia" w:ascii="宋体" w:hAnsi="宋体"/>
          <w:szCs w:val="21"/>
        </w:rPr>
        <w:t>称：</w:t>
      </w:r>
      <w:r>
        <w:rPr>
          <w:rFonts w:ascii="宋体" w:hAnsi="宋体"/>
          <w:szCs w:val="21"/>
        </w:rPr>
        <w:t xml:space="preserve"> </w:t>
      </w:r>
      <w:r>
        <w:rPr>
          <w:rFonts w:ascii="宋体" w:hAnsi="宋体"/>
          <w:szCs w:val="21"/>
        </w:rPr>
        <w:br w:type="textWrapping"/>
      </w:r>
      <w:r>
        <w:rPr>
          <w:rFonts w:hint="eastAsia" w:ascii="宋体" w:hAnsi="宋体"/>
          <w:szCs w:val="21"/>
        </w:rPr>
        <w:t>注册地址：</w:t>
      </w:r>
      <w:r>
        <w:rPr>
          <w:rFonts w:ascii="宋体" w:hAnsi="宋体"/>
          <w:szCs w:val="21"/>
        </w:rPr>
        <w:br w:type="textWrapping"/>
      </w:r>
      <w:r>
        <w:rPr>
          <w:rFonts w:hint="eastAsia" w:ascii="宋体" w:hAnsi="宋体"/>
          <w:szCs w:val="21"/>
        </w:rPr>
        <w:t>邮政编码：</w:t>
      </w:r>
      <w:r>
        <w:rPr>
          <w:rFonts w:ascii="宋体" w:hAnsi="宋体"/>
          <w:szCs w:val="21"/>
        </w:rPr>
        <w:br w:type="textWrapping"/>
      </w:r>
      <w:r>
        <w:rPr>
          <w:rFonts w:hint="eastAsia" w:ascii="宋体" w:hAnsi="宋体"/>
          <w:szCs w:val="21"/>
        </w:rPr>
        <w:t>电话号码：</w:t>
      </w:r>
      <w:r>
        <w:rPr>
          <w:rFonts w:ascii="宋体" w:hAnsi="宋体"/>
          <w:szCs w:val="21"/>
        </w:rPr>
        <w:br w:type="textWrapping"/>
      </w:r>
      <w:r>
        <w:rPr>
          <w:rFonts w:hint="eastAsia" w:ascii="宋体" w:hAnsi="宋体"/>
          <w:szCs w:val="21"/>
        </w:rPr>
        <w:t>传真号码：</w:t>
      </w:r>
      <w:r>
        <w:rPr>
          <w:rFonts w:ascii="宋体" w:hAnsi="宋体"/>
          <w:szCs w:val="21"/>
        </w:rPr>
        <w:br w:type="textWrapping"/>
      </w:r>
      <w:r>
        <w:rPr>
          <w:rFonts w:hint="eastAsia" w:ascii="宋体" w:hAnsi="宋体"/>
          <w:szCs w:val="21"/>
        </w:rPr>
        <w:t>网</w:t>
      </w: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</w:rPr>
        <w:t>址：</w:t>
      </w:r>
      <w:r>
        <w:rPr>
          <w:rFonts w:ascii="宋体" w:hAnsi="宋体"/>
          <w:szCs w:val="21"/>
        </w:rPr>
        <w:br w:type="textWrapping"/>
      </w:r>
      <w:r>
        <w:rPr>
          <w:rFonts w:ascii="宋体" w:hAnsi="宋体"/>
          <w:szCs w:val="21"/>
        </w:rPr>
        <w:t>[</w:t>
      </w:r>
      <w:r>
        <w:rPr>
          <w:rFonts w:hint="eastAsia" w:ascii="宋体" w:hAnsi="宋体"/>
          <w:szCs w:val="21"/>
        </w:rPr>
        <w:t>生产企业</w:t>
      </w:r>
      <w:r>
        <w:rPr>
          <w:rFonts w:ascii="宋体" w:hAnsi="宋体"/>
          <w:szCs w:val="21"/>
        </w:rPr>
        <w:t>]</w:t>
      </w:r>
      <w:r>
        <w:rPr>
          <w:rFonts w:ascii="宋体" w:hAnsi="宋体"/>
          <w:szCs w:val="21"/>
        </w:rPr>
        <w:br w:type="textWrapping"/>
      </w:r>
      <w:r>
        <w:rPr>
          <w:rFonts w:hint="eastAsia" w:ascii="宋体" w:hAnsi="宋体"/>
          <w:szCs w:val="21"/>
        </w:rPr>
        <w:t>企业名称：</w:t>
      </w:r>
      <w:r>
        <w:rPr>
          <w:rFonts w:ascii="宋体" w:hAnsi="宋体"/>
          <w:szCs w:val="21"/>
        </w:rPr>
        <w:t xml:space="preserve"> </w:t>
      </w:r>
      <w:r>
        <w:rPr>
          <w:rFonts w:ascii="宋体" w:hAnsi="宋体"/>
          <w:szCs w:val="21"/>
        </w:rPr>
        <w:br w:type="textWrapping"/>
      </w:r>
      <w:r>
        <w:rPr>
          <w:rFonts w:hint="eastAsia" w:ascii="宋体" w:hAnsi="宋体"/>
          <w:szCs w:val="21"/>
        </w:rPr>
        <w:t>生产地址：</w:t>
      </w:r>
      <w:r>
        <w:rPr>
          <w:rFonts w:ascii="宋体" w:hAnsi="宋体"/>
          <w:szCs w:val="21"/>
        </w:rPr>
        <w:br w:type="textWrapping"/>
      </w:r>
      <w:r>
        <w:rPr>
          <w:rFonts w:hint="eastAsia" w:ascii="宋体" w:hAnsi="宋体"/>
          <w:b/>
          <w:szCs w:val="21"/>
        </w:rPr>
        <w:t>如有问题可与药品上市许可持有人联系。</w:t>
      </w:r>
    </w:p>
    <w:p w14:paraId="3408956C">
      <w:pPr>
        <w:spacing w:line="0" w:lineRule="atLeast"/>
        <w:rPr>
          <w:rFonts w:ascii="宋体" w:hAnsi="宋体"/>
          <w:szCs w:val="21"/>
        </w:rPr>
      </w:pPr>
    </w:p>
    <w:p w14:paraId="70A5A10F">
      <w:pPr>
        <w:spacing w:line="0" w:lineRule="atLeast"/>
        <w:rPr>
          <w:rFonts w:ascii="宋体" w:hAnsi="宋体"/>
          <w:szCs w:val="21"/>
        </w:rPr>
      </w:pPr>
    </w:p>
    <w:p w14:paraId="194572D2">
      <w:pPr>
        <w:spacing w:line="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（注：本说明书范本原则上不得删除，如原批准说明书的安全性内容较本范本内容更全面或者更严格的，应保留原批准内容。）</w:t>
      </w:r>
    </w:p>
    <w:p w14:paraId="5B1EB8D2">
      <w:pPr>
        <w:rPr>
          <w:b/>
          <w:szCs w:val="21"/>
        </w:rPr>
      </w:pPr>
      <w:r>
        <w:rPr>
          <w:szCs w:val="21"/>
        </w:rPr>
        <w:fldChar w:fldCharType="begin"/>
      </w:r>
      <w:r>
        <w:rPr>
          <w:szCs w:val="21"/>
        </w:rPr>
        <w:instrText xml:space="preserve">ADDIN CNKISM.UserStyle</w:instrText>
      </w:r>
      <w:r>
        <w:rPr>
          <w:szCs w:val="21"/>
        </w:rPr>
        <w:fldChar w:fldCharType="end"/>
      </w:r>
    </w:p>
    <w:p w14:paraId="36EC63F0">
      <w:pPr>
        <w:keepNext/>
        <w:keepLines/>
        <w:spacing w:before="260" w:after="260" w:line="408" w:lineRule="auto"/>
        <w:jc w:val="center"/>
        <w:outlineLvl w:val="1"/>
        <w:rPr>
          <w:rFonts w:hint="eastAsia" w:ascii="宋体" w:hAnsi="宋体" w:cs="宋体"/>
          <w:b/>
          <w:sz w:val="30"/>
          <w:szCs w:val="20"/>
        </w:rPr>
      </w:pPr>
    </w:p>
    <w:p w14:paraId="05247EA9">
      <w:pPr>
        <w:spacing w:line="500" w:lineRule="exact"/>
        <w:ind w:left="0" w:leftChars="0" w:firstLine="210" w:firstLineChars="100"/>
      </w:pPr>
      <w:bookmarkStart w:id="5" w:name="_GoBack"/>
      <w:bookmarkEnd w:id="5"/>
    </w:p>
    <w:sectPr>
      <w:footerReference r:id="rId3" w:type="default"/>
      <w:pgSz w:w="11906" w:h="16838"/>
      <w:pgMar w:top="1928" w:right="1531" w:bottom="1814" w:left="1531" w:header="851" w:footer="1361" w:gutter="0"/>
      <w:cols w:space="720" w:num="1"/>
      <w:rtlGutter w:val="0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0" w:usb3="00000000" w:csb0="0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D220C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759E2F9">
                          <w:pPr>
                            <w:pStyle w:val="2"/>
                            <w:rPr>
                              <w:rFonts w:hint="eastAsia" w:eastAsia="宋体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color w:val="FFFFFF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  <w:r>
                            <w:rPr>
                              <w:rFonts w:hint="eastAsia"/>
                              <w:color w:val="FFFFFF"/>
                              <w:sz w:val="28"/>
                              <w:szCs w:val="28"/>
                              <w:lang w:val="en-US"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BS3tjc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759E2F9">
                    <w:pPr>
                      <w:pStyle w:val="2"/>
                      <w:rPr>
                        <w:rFonts w:hint="eastAsia" w:eastAsia="宋体"/>
                        <w:lang w:val="en-US" w:eastAsia="zh-CN"/>
                      </w:rPr>
                    </w:pPr>
                    <w:r>
                      <w:rPr>
                        <w:rFonts w:hint="eastAsia"/>
                        <w:color w:val="FFFFFF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  <w:r>
                      <w:rPr>
                        <w:rFonts w:hint="eastAsia"/>
                        <w:color w:val="FFFFFF"/>
                        <w:sz w:val="28"/>
                        <w:szCs w:val="28"/>
                        <w:lang w:val="en-US"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3A0214D"/>
    <w:rsid w:val="6DF118A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7409</Words>
  <Characters>7637</Characters>
  <Lines>0</Lines>
  <Paragraphs>0</Paragraphs>
  <TotalTime>0</TotalTime>
  <ScaleCrop>false</ScaleCrop>
  <LinksUpToDate>false</LinksUpToDate>
  <CharactersWithSpaces>7834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2026-10-28T19:21:54Z</dcterms:created>
  <dc:creator>xiaocm</dc:creator>
  <cp:lastModifiedBy>YU</cp:lastModifiedBy>
  <dcterms:modified xsi:type="dcterms:W3CDTF">2026-10-29T09:35:57Z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2AE6648D6F5A4503A9FC9CFA77D215E6_13</vt:lpwstr>
  </property>
  <property fmtid="{D5CDD505-2E9C-101B-9397-08002B2CF9AE}" pid="4" name="KSOTemplateDocerSaveRecord">
    <vt:lpwstr>eyJoZGlkIjoiNzUzMjcxYjI3MDRjMDIwZmVmYTgzNGM3MjE3OGJkMDMiLCJ1c2VySWQiOiIyNzgyMDExNzcifQ==</vt:lpwstr>
  </property>
</Properties>
</file>